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81F95E">
      <w:pPr>
        <w:spacing w:before="0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pict>
          <v:shape id="_x00001" o:spid="_x0000_s1027" o:spt="75" type="#_x0000_t75" style="position:absolute;left:0pt;margin-left:83.9pt;margin-top:175.9pt;height:586.85pt;width:428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黑体" w:hAnsi="黑体" w:cs="黑体"/>
          <w:color w:val="000000"/>
          <w:spacing w:val="-1"/>
          <w:sz w:val="32"/>
        </w:rPr>
        <w:t>附件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UAHCRI+TimesNewRomanPSMT"/>
          <w:color w:val="000000"/>
          <w:spacing w:val="0"/>
          <w:sz w:val="32"/>
        </w:rPr>
        <w:t>1</w:t>
      </w:r>
      <w:bookmarkStart w:id="0" w:name="_GoBack"/>
      <w:bookmarkEnd w:id="0"/>
    </w:p>
    <w:p w14:paraId="11321D43">
      <w:pPr>
        <w:spacing w:before="1252" w:after="0" w:line="291" w:lineRule="exact"/>
        <w:ind w:left="30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pict>
          <v:shape id="_x00000" o:spid="_x0000_s1026" o:spt="75" type="#_x0000_t75" style="position:absolute;left:0pt;margin-left:125.8pt;margin-top:107.1pt;height:24.95pt;width:361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黑体" w:hAnsi="黑体" w:cs="黑体"/>
          <w:color w:val="000000"/>
          <w:spacing w:val="0"/>
          <w:sz w:val="28"/>
        </w:rPr>
        <w:t>（一）评议性指标</w:t>
      </w:r>
    </w:p>
    <w:p w14:paraId="0AC18C65">
      <w:pPr>
        <w:spacing w:before="301" w:after="0" w:line="250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评议指标</w:t>
      </w:r>
      <w:r>
        <w:rPr>
          <w:rFonts w:ascii="Times New Roman"/>
          <w:color w:val="000000"/>
          <w:spacing w:val="2990"/>
          <w:sz w:val="24"/>
        </w:rPr>
        <w:t xml:space="preserve"> </w:t>
      </w:r>
      <w:r>
        <w:rPr>
          <w:rFonts w:ascii="黑体" w:hAnsi="黑体" w:cs="黑体"/>
          <w:color w:val="000000"/>
          <w:spacing w:val="0"/>
          <w:sz w:val="24"/>
        </w:rPr>
        <w:t>观测点及要求</w:t>
      </w:r>
    </w:p>
    <w:p w14:paraId="1C04491A">
      <w:pPr>
        <w:spacing w:before="266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1.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落实立德树人根本任务，符合相应专业教学标准、人才培</w:t>
      </w:r>
    </w:p>
    <w:p w14:paraId="72BED8A5">
      <w:pPr>
        <w:spacing w:before="80" w:after="0" w:line="262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课程定位与目标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养方案要求，课程性质明确，与前、后接续课程衔接得当。</w:t>
      </w:r>
    </w:p>
    <w:p w14:paraId="5A60235A">
      <w:pPr>
        <w:spacing w:before="90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2.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课程目标定位准确、条目清晰、内容具体、可评可测。</w:t>
      </w:r>
    </w:p>
    <w:p w14:paraId="22E8C28C">
      <w:pPr>
        <w:spacing w:before="94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1.</w:t>
      </w:r>
      <w:r>
        <w:rPr>
          <w:rFonts w:ascii="KMUKPA+FangSong_GB2312" w:hAnsi="KMUKPA+FangSong_GB2312" w:cs="KMUKPA+FangSong_GB2312"/>
          <w:color w:val="000000"/>
          <w:spacing w:val="-5"/>
          <w:sz w:val="24"/>
        </w:rPr>
        <w:t>课程内容组织与安排凸显职业教育类型特征，对接新产业、</w:t>
      </w:r>
    </w:p>
    <w:p w14:paraId="02A230B2">
      <w:pPr>
        <w:spacing w:before="92" w:after="80" w:line="250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新业态、新模式、新职业，反映相关领域新方法、新技术、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3"/>
        <w:gridCol w:w="1979"/>
        <w:gridCol w:w="20"/>
        <w:gridCol w:w="6262"/>
      </w:tblGrid>
      <w:tr w14:paraId="545929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" w:type="dxa"/>
            <w:noWrap w:val="0"/>
            <w:vAlign w:val="top"/>
          </w:tcPr>
          <w:p w14:paraId="3C78FC44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79" w:type="dxa"/>
            <w:noWrap w:val="0"/>
            <w:vAlign w:val="top"/>
          </w:tcPr>
          <w:p w14:paraId="5CC3D3B4">
            <w:pPr>
              <w:spacing w:before="192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课程结构与内容</w:t>
            </w:r>
          </w:p>
        </w:tc>
        <w:tc>
          <w:tcPr>
            <w:tcW w:w="20" w:type="dxa"/>
            <w:noWrap w:val="0"/>
            <w:vAlign w:val="top"/>
          </w:tcPr>
          <w:p w14:paraId="167436FF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262" w:type="dxa"/>
            <w:noWrap w:val="0"/>
            <w:vAlign w:val="top"/>
          </w:tcPr>
          <w:p w14:paraId="5A906001">
            <w:pPr>
              <w:spacing w:before="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-2"/>
                <w:sz w:val="24"/>
              </w:rPr>
              <w:t>新工艺、新标准，体现行业企业参与特征，紧贴本专业相关</w:t>
            </w:r>
          </w:p>
          <w:p w14:paraId="084B345B">
            <w:pPr>
              <w:spacing w:before="12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技术领域职业岗位（群）的能力要求。</w:t>
            </w:r>
          </w:p>
        </w:tc>
      </w:tr>
    </w:tbl>
    <w:p w14:paraId="35D741B3">
      <w:pPr>
        <w:spacing w:before="112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2.</w:t>
      </w:r>
      <w:r>
        <w:rPr>
          <w:rFonts w:ascii="KMUKPA+FangSong_GB2312" w:hAnsi="KMUKPA+FangSong_GB2312" w:cs="KMUKPA+FangSong_GB2312"/>
          <w:color w:val="000000"/>
          <w:spacing w:val="-5"/>
          <w:sz w:val="24"/>
        </w:rPr>
        <w:t>课程内容完整、结构合理、逻辑清晰，学习单元划分合理、</w:t>
      </w:r>
    </w:p>
    <w:p w14:paraId="1025B485">
      <w:pPr>
        <w:spacing w:before="84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衔接有序、教学学时分配合理。申报课程不低于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UAHCRI+TimesNewRomanPSMT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学时。</w:t>
      </w:r>
    </w:p>
    <w:p w14:paraId="70140E97">
      <w:pPr>
        <w:spacing w:before="94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1.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课程标准涵盖的内容完整，课程基本信息准确，对人才培</w:t>
      </w:r>
    </w:p>
    <w:p w14:paraId="0E26E75A">
      <w:pPr>
        <w:spacing w:before="94" w:after="0" w:line="250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养具有较强的指导作用。</w:t>
      </w:r>
    </w:p>
    <w:p w14:paraId="4E904BB4">
      <w:pPr>
        <w:spacing w:before="100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2.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课程标准格式规范，体系科学合理，能有效指导课程建设</w:t>
      </w:r>
    </w:p>
    <w:p w14:paraId="5EC5FD11">
      <w:pPr>
        <w:spacing w:before="82" w:after="0" w:line="262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标准完整与规范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与实际授课。</w:t>
      </w:r>
    </w:p>
    <w:p w14:paraId="304457EC">
      <w:pPr>
        <w:spacing w:before="88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3.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标准体现的课程资源类型丰富、内容多样，能够满足学校</w:t>
      </w:r>
    </w:p>
    <w:p w14:paraId="4E29C733">
      <w:pPr>
        <w:spacing w:before="94" w:after="0" w:line="250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教学和学习者学习需求，做到能学辅教。</w:t>
      </w:r>
    </w:p>
    <w:p w14:paraId="59EC27CD">
      <w:pPr>
        <w:spacing w:before="100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4.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教材选用合理，符合有关规定和教学需求。</w:t>
      </w:r>
    </w:p>
    <w:p w14:paraId="719C0DA4">
      <w:pPr>
        <w:spacing w:before="231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1.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教学团队结构合理，师德师风优良，教学表现力和亲和力</w:t>
      </w:r>
    </w:p>
    <w:p w14:paraId="483BD242">
      <w:pPr>
        <w:spacing w:before="92" w:after="0" w:line="250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强，教学成果积累丰富，教学改革意识强。</w:t>
      </w:r>
    </w:p>
    <w:p w14:paraId="07032738">
      <w:pPr>
        <w:spacing w:before="102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成员构成与要求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UAHCRI+TimesNewRomanPSMT"/>
          <w:color w:val="000000"/>
          <w:spacing w:val="0"/>
          <w:sz w:val="24"/>
        </w:rPr>
        <w:t>2.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课程负责人应具有高级专业技术职务，具有丰富的教学经</w:t>
      </w:r>
    </w:p>
    <w:p w14:paraId="106DAE8B">
      <w:pPr>
        <w:spacing w:before="92" w:after="0" w:line="250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-2"/>
          <w:sz w:val="24"/>
        </w:rPr>
        <w:t>验和扎实专业功底，在本专业领域具有一定影响力。同一课</w:t>
      </w:r>
    </w:p>
    <w:p w14:paraId="072D9EFF">
      <w:pPr>
        <w:spacing w:before="110" w:after="0" w:line="250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程负责人牵头的课程限推荐一门。</w:t>
      </w:r>
    </w:p>
    <w:p w14:paraId="42BCE947">
      <w:pPr>
        <w:spacing w:before="249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1.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各项教学活动完整、有效，教学过程可回溯，关注教与学</w:t>
      </w:r>
    </w:p>
    <w:p w14:paraId="3F19D89A">
      <w:pPr>
        <w:spacing w:before="92" w:after="0" w:line="250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全过程的信息采集，教学过程材料完整。</w:t>
      </w:r>
    </w:p>
    <w:p w14:paraId="133B2E15">
      <w:pPr>
        <w:spacing w:before="102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2.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合理使用信息技术手段创新教学模式，能够激发学生学习</w:t>
      </w:r>
    </w:p>
    <w:p w14:paraId="48E42CD7">
      <w:pPr>
        <w:spacing w:before="80" w:after="0" w:line="262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教学活动与过程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兴趣和潜能。</w:t>
      </w:r>
    </w:p>
    <w:p w14:paraId="394E1692">
      <w:pPr>
        <w:spacing w:before="90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3.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提供充足的学习支持服务，促进师生之间、学生之间进行</w:t>
      </w:r>
    </w:p>
    <w:p w14:paraId="470BA098">
      <w:pPr>
        <w:spacing w:before="92" w:after="0" w:line="250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-2"/>
          <w:sz w:val="24"/>
        </w:rPr>
        <w:t>资源共享、问题交流和协作学习，实现师生、生生的深度有</w:t>
      </w:r>
    </w:p>
    <w:p w14:paraId="13ED1328">
      <w:pPr>
        <w:spacing w:before="110" w:after="0" w:line="250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效互动。</w:t>
      </w:r>
    </w:p>
    <w:p w14:paraId="04962F8C">
      <w:pPr>
        <w:spacing w:before="17" w:after="0" w:line="37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学习考核与评价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UAHCRI+TimesNewRomanPSMT"/>
          <w:color w:val="000000"/>
          <w:spacing w:val="0"/>
          <w:sz w:val="24"/>
        </w:rPr>
        <w:t>1.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建立多元化学习评价体系，不断改进结果评价，强化过程</w:t>
      </w:r>
    </w:p>
    <w:p w14:paraId="2B13C74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60B67D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1D6E828">
      <w:pPr>
        <w:sectPr>
          <w:pgSz w:w="11900" w:h="16820"/>
          <w:pgMar w:top="1602" w:right="100" w:bottom="0" w:left="1800" w:header="720" w:footer="720" w:gutter="0"/>
          <w:pgNumType w:start="1"/>
          <w:cols w:space="720" w:num="1"/>
          <w:docGrid w:linePitch="1" w:charSpace="0"/>
        </w:sectPr>
      </w:pPr>
    </w:p>
    <w:p w14:paraId="59E12F1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BD06B86">
      <w:pPr>
        <w:spacing w:before="0" w:after="0" w:line="250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pict>
          <v:shape id="_x00002" o:spid="_x0000_s1028" o:spt="75" type="#_x0000_t75" style="position:absolute;left:0pt;margin-left:83.9pt;margin-top:70.1pt;height:166.25pt;width:428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83.35pt;margin-top:282.6pt;height:348.8pt;width:425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评价，探索增值评价，健全综合评价。</w:t>
      </w:r>
    </w:p>
    <w:p w14:paraId="2D377A52">
      <w:pPr>
        <w:spacing w:before="102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2.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探索基于大数据的信息采集分析，全程记录和跟踪教师的</w:t>
      </w:r>
    </w:p>
    <w:p w14:paraId="53BFA4FB">
      <w:pPr>
        <w:spacing w:before="92" w:after="0" w:line="250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教学和学生学习过程，形成教与学的正向反馈。</w:t>
      </w:r>
    </w:p>
    <w:p w14:paraId="501B1A4B">
      <w:pPr>
        <w:spacing w:before="102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3.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课程建设过程中，不断完善课程考核评价机制，有效反思</w:t>
      </w:r>
    </w:p>
    <w:p w14:paraId="08AA63AF">
      <w:pPr>
        <w:spacing w:before="92" w:after="0" w:line="250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课程建设的经验与不足，教学诊断改进积极有效。</w:t>
      </w:r>
    </w:p>
    <w:p w14:paraId="5BC31B1A">
      <w:pPr>
        <w:spacing w:before="112" w:after="62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1.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在教学和课程改革方面与同类课程相比显示了明显优势，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3"/>
        <w:gridCol w:w="1979"/>
        <w:gridCol w:w="20"/>
        <w:gridCol w:w="4340"/>
      </w:tblGrid>
      <w:tr w14:paraId="09B2A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13" w:type="dxa"/>
            <w:noWrap w:val="0"/>
            <w:vAlign w:val="top"/>
          </w:tcPr>
          <w:p w14:paraId="7691B9C3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79" w:type="dxa"/>
            <w:noWrap w:val="0"/>
            <w:vAlign w:val="top"/>
          </w:tcPr>
          <w:p w14:paraId="657D08E2">
            <w:pPr>
              <w:spacing w:before="192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课程示范与引领</w:t>
            </w:r>
          </w:p>
        </w:tc>
        <w:tc>
          <w:tcPr>
            <w:tcW w:w="20" w:type="dxa"/>
            <w:noWrap w:val="0"/>
            <w:vAlign w:val="top"/>
          </w:tcPr>
          <w:p w14:paraId="51950E7C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40" w:type="dxa"/>
            <w:noWrap w:val="0"/>
            <w:vAlign w:val="top"/>
          </w:tcPr>
          <w:p w14:paraId="3F775634">
            <w:pPr>
              <w:spacing w:before="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具有推广价值。</w:t>
            </w:r>
          </w:p>
          <w:p w14:paraId="70CD3AB9">
            <w:pPr>
              <w:spacing w:before="11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UAHCRI+TimesNewRomanPSMT"/>
                <w:color w:val="000000"/>
                <w:spacing w:val="0"/>
                <w:sz w:val="24"/>
              </w:rPr>
              <w:t>2.</w:t>
            </w: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具备供其他院校教师教学使用的条件。</w:t>
            </w:r>
          </w:p>
        </w:tc>
      </w:tr>
    </w:tbl>
    <w:p w14:paraId="770CF3CD">
      <w:pPr>
        <w:spacing w:before="94" w:after="0" w:line="276" w:lineRule="exact"/>
        <w:ind w:left="2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AHCRI+TimesNewRomanPSMT"/>
          <w:color w:val="000000"/>
          <w:spacing w:val="0"/>
          <w:sz w:val="24"/>
        </w:rPr>
        <w:t>3.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学生对教师教学以及课程的满意度较高。</w:t>
      </w:r>
    </w:p>
    <w:p w14:paraId="550CE329">
      <w:pPr>
        <w:spacing w:before="642" w:after="0" w:line="291" w:lineRule="exact"/>
        <w:ind w:left="30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黑体" w:hAnsi="黑体" w:cs="黑体"/>
          <w:color w:val="000000"/>
          <w:spacing w:val="0"/>
          <w:sz w:val="28"/>
        </w:rPr>
        <w:t>（二）否定性指标</w:t>
      </w:r>
    </w:p>
    <w:p w14:paraId="1D70CF87">
      <w:pPr>
        <w:spacing w:before="320" w:after="0" w:line="250" w:lineRule="exact"/>
        <w:ind w:left="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维度</w:t>
      </w:r>
      <w:r>
        <w:rPr>
          <w:rFonts w:ascii="Times New Roman"/>
          <w:color w:val="000000"/>
          <w:spacing w:val="1294"/>
          <w:sz w:val="24"/>
        </w:rPr>
        <w:t xml:space="preserve"> </w:t>
      </w:r>
      <w:r>
        <w:rPr>
          <w:rFonts w:ascii="黑体" w:hAnsi="黑体" w:cs="黑体"/>
          <w:color w:val="000000"/>
          <w:spacing w:val="0"/>
          <w:sz w:val="24"/>
        </w:rPr>
        <w:t>具体指标</w:t>
      </w:r>
      <w:r>
        <w:rPr>
          <w:rFonts w:ascii="Times New Roman"/>
          <w:color w:val="000000"/>
          <w:spacing w:val="2304"/>
          <w:sz w:val="24"/>
        </w:rPr>
        <w:t xml:space="preserve"> </w:t>
      </w:r>
      <w:r>
        <w:rPr>
          <w:rFonts w:ascii="黑体" w:hAnsi="黑体" w:cs="黑体"/>
          <w:color w:val="000000"/>
          <w:spacing w:val="0"/>
          <w:sz w:val="24"/>
        </w:rPr>
        <w:t>观测点及方式</w:t>
      </w:r>
    </w:p>
    <w:p w14:paraId="6947E52D">
      <w:pPr>
        <w:spacing w:before="261" w:after="0" w:line="250" w:lineRule="exact"/>
        <w:ind w:left="13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24"/>
          <w:sz w:val="24"/>
        </w:rPr>
        <w:t>课程性质与推荐申报要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查看专业人才培养方案，确定是否属于</w:t>
      </w:r>
    </w:p>
    <w:p w14:paraId="67B208B2">
      <w:pPr>
        <w:spacing w:before="110" w:after="0" w:line="250" w:lineRule="exact"/>
        <w:ind w:left="13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求不符</w:t>
      </w:r>
      <w:r>
        <w:rPr>
          <w:rFonts w:ascii="Times New Roman"/>
          <w:color w:val="000000"/>
          <w:spacing w:val="2057"/>
          <w:sz w:val="24"/>
        </w:rPr>
        <w:t xml:space="preserve"> 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专业核心课程</w:t>
      </w:r>
    </w:p>
    <w:p w14:paraId="786A7906">
      <w:pPr>
        <w:spacing w:before="120" w:after="0" w:line="250" w:lineRule="exact"/>
        <w:ind w:left="13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24"/>
          <w:sz w:val="24"/>
        </w:rPr>
        <w:t>开设时间或期数不符合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查看教务系统截图，核实申报截止日期</w:t>
      </w:r>
    </w:p>
    <w:p w14:paraId="208D7235">
      <w:pPr>
        <w:spacing w:before="110" w:after="0" w:line="250" w:lineRule="exact"/>
        <w:ind w:left="13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申报要求</w:t>
      </w:r>
      <w:r>
        <w:rPr>
          <w:rFonts w:ascii="Times New Roman"/>
          <w:color w:val="000000"/>
          <w:spacing w:val="1817"/>
          <w:sz w:val="24"/>
        </w:rPr>
        <w:t xml:space="preserve"> 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前是否完成至少两（学）期教学实践</w:t>
      </w:r>
    </w:p>
    <w:p w14:paraId="69909FA8">
      <w:pPr>
        <w:spacing w:before="120" w:after="80" w:line="250" w:lineRule="exact"/>
        <w:ind w:left="41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查看课程标准相关内容，核实选用教材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5"/>
        <w:gridCol w:w="1223"/>
        <w:gridCol w:w="20"/>
        <w:gridCol w:w="2817"/>
        <w:gridCol w:w="20"/>
        <w:gridCol w:w="4158"/>
      </w:tblGrid>
      <w:tr w14:paraId="3DAF25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65" w:type="dxa"/>
            <w:noWrap w:val="0"/>
            <w:vAlign w:val="top"/>
          </w:tcPr>
          <w:p w14:paraId="6D88AFCA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223" w:type="dxa"/>
            <w:noWrap w:val="0"/>
            <w:vAlign w:val="top"/>
          </w:tcPr>
          <w:p w14:paraId="44495209">
            <w:pPr>
              <w:spacing w:before="192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课程资格</w:t>
            </w:r>
          </w:p>
        </w:tc>
        <w:tc>
          <w:tcPr>
            <w:tcW w:w="20" w:type="dxa"/>
            <w:noWrap w:val="0"/>
            <w:vAlign w:val="top"/>
          </w:tcPr>
          <w:p w14:paraId="7893B346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17" w:type="dxa"/>
            <w:noWrap w:val="0"/>
            <w:vAlign w:val="top"/>
          </w:tcPr>
          <w:p w14:paraId="53333082">
            <w:pPr>
              <w:spacing w:before="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教材选用不合规</w:t>
            </w:r>
          </w:p>
        </w:tc>
        <w:tc>
          <w:tcPr>
            <w:tcW w:w="20" w:type="dxa"/>
            <w:noWrap w:val="0"/>
            <w:vAlign w:val="top"/>
          </w:tcPr>
          <w:p w14:paraId="0D5A163A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158" w:type="dxa"/>
            <w:noWrap w:val="0"/>
            <w:vAlign w:val="top"/>
          </w:tcPr>
          <w:p w14:paraId="3F8B67C3">
            <w:pPr>
              <w:spacing w:before="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是否符合《职业院校教材管理办法》等</w:t>
            </w:r>
          </w:p>
          <w:p w14:paraId="1EB2B747">
            <w:pPr>
              <w:spacing w:before="12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有关要求</w:t>
            </w:r>
          </w:p>
        </w:tc>
      </w:tr>
    </w:tbl>
    <w:p w14:paraId="2131BD95">
      <w:pPr>
        <w:spacing w:before="130" w:after="0" w:line="250" w:lineRule="exact"/>
        <w:ind w:left="13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24"/>
          <w:sz w:val="24"/>
        </w:rPr>
        <w:t>课程基本信息明显不一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KMUKPA+FangSong_GB2312" w:hAnsi="KMUKPA+FangSong_GB2312" w:cs="KMUKPA+FangSong_GB2312"/>
          <w:color w:val="000000"/>
          <w:spacing w:val="16"/>
          <w:sz w:val="24"/>
        </w:rPr>
        <w:t>查看教务系统截图，重点比对课程名</w:t>
      </w:r>
    </w:p>
    <w:p w14:paraId="04116E75">
      <w:pPr>
        <w:spacing w:before="110" w:after="90" w:line="250" w:lineRule="exact"/>
        <w:ind w:left="13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致</w:t>
      </w:r>
      <w:r>
        <w:rPr>
          <w:rFonts w:ascii="Times New Roman"/>
          <w:color w:val="000000"/>
          <w:spacing w:val="2537"/>
          <w:sz w:val="24"/>
        </w:rPr>
        <w:t xml:space="preserve"> 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称、授课教师、学时等有关说明材料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5"/>
        <w:gridCol w:w="1223"/>
        <w:gridCol w:w="20"/>
        <w:gridCol w:w="2817"/>
        <w:gridCol w:w="20"/>
        <w:gridCol w:w="4158"/>
      </w:tblGrid>
      <w:tr w14:paraId="659D89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2" w:hRule="atLeast"/>
        </w:trPr>
        <w:tc>
          <w:tcPr>
            <w:tcW w:w="1308" w:type="dxa"/>
            <w:gridSpan w:val="3"/>
            <w:noWrap w:val="0"/>
            <w:vAlign w:val="top"/>
          </w:tcPr>
          <w:p w14:paraId="59609648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17" w:type="dxa"/>
            <w:noWrap w:val="0"/>
            <w:vAlign w:val="top"/>
          </w:tcPr>
          <w:p w14:paraId="547BA259">
            <w:pPr>
              <w:spacing w:before="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-2"/>
                <w:sz w:val="24"/>
              </w:rPr>
              <w:t>课程内容存在政治性、思</w:t>
            </w:r>
          </w:p>
          <w:p w14:paraId="35BC1938">
            <w:pPr>
              <w:spacing w:before="12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-2"/>
                <w:sz w:val="24"/>
              </w:rPr>
              <w:t>想性问题，以及科学性问</w:t>
            </w:r>
          </w:p>
          <w:p w14:paraId="459285D1">
            <w:pPr>
              <w:spacing w:before="12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题</w:t>
            </w:r>
          </w:p>
        </w:tc>
        <w:tc>
          <w:tcPr>
            <w:tcW w:w="20" w:type="dxa"/>
            <w:noWrap w:val="0"/>
            <w:vAlign w:val="top"/>
          </w:tcPr>
          <w:p w14:paraId="1D2D255D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158" w:type="dxa"/>
            <w:noWrap w:val="0"/>
            <w:vAlign w:val="top"/>
          </w:tcPr>
          <w:p w14:paraId="598C1815">
            <w:pPr>
              <w:spacing w:before="18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查看提交的资料，核实是否存在重要意</w:t>
            </w:r>
          </w:p>
          <w:p w14:paraId="17FE489D">
            <w:pPr>
              <w:spacing w:before="12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识形态问题或科学性问题</w:t>
            </w:r>
          </w:p>
        </w:tc>
      </w:tr>
      <w:tr w14:paraId="653DE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65" w:type="dxa"/>
            <w:noWrap w:val="0"/>
            <w:vAlign w:val="top"/>
          </w:tcPr>
          <w:p w14:paraId="6EDC3BEA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223" w:type="dxa"/>
            <w:noWrap w:val="0"/>
            <w:vAlign w:val="top"/>
          </w:tcPr>
          <w:p w14:paraId="46D5959B">
            <w:pPr>
              <w:spacing w:before="20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教师资格</w:t>
            </w:r>
          </w:p>
        </w:tc>
        <w:tc>
          <w:tcPr>
            <w:tcW w:w="20" w:type="dxa"/>
            <w:noWrap w:val="0"/>
            <w:vAlign w:val="top"/>
          </w:tcPr>
          <w:p w14:paraId="6B448417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17" w:type="dxa"/>
            <w:noWrap w:val="0"/>
            <w:vAlign w:val="top"/>
          </w:tcPr>
          <w:p w14:paraId="33A76C62">
            <w:pPr>
              <w:spacing w:before="8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24"/>
                <w:sz w:val="24"/>
              </w:rPr>
              <w:t>团队成员存在师德师风</w:t>
            </w:r>
          </w:p>
          <w:p w14:paraId="4FD31F0D">
            <w:pPr>
              <w:spacing w:before="12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方面问题</w:t>
            </w:r>
          </w:p>
        </w:tc>
        <w:tc>
          <w:tcPr>
            <w:tcW w:w="20" w:type="dxa"/>
            <w:noWrap w:val="0"/>
            <w:vAlign w:val="top"/>
          </w:tcPr>
          <w:p w14:paraId="5399BF72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158" w:type="dxa"/>
            <w:noWrap w:val="0"/>
            <w:vAlign w:val="top"/>
          </w:tcPr>
          <w:p w14:paraId="52E7CA96">
            <w:pPr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1"/>
                <w:sz w:val="24"/>
              </w:rPr>
              <w:t>查看</w:t>
            </w:r>
            <w:r>
              <w:rPr>
                <w:rFonts w:ascii="UAHCRI+TimesNewRomanPSMT" w:hAnsi="UAHCRI+TimesNewRomanPSMT" w:cs="UAHCRI+TimesNewRomanPSMT"/>
                <w:color w:val="000000"/>
                <w:spacing w:val="1"/>
                <w:sz w:val="24"/>
              </w:rPr>
              <w:t>“</w:t>
            </w:r>
            <w:r>
              <w:rPr>
                <w:rFonts w:ascii="KMUKPA+FangSong_GB2312" w:hAnsi="KMUKPA+FangSong_GB2312" w:cs="KMUKPA+FangSong_GB2312"/>
                <w:color w:val="000000"/>
                <w:spacing w:val="1"/>
                <w:sz w:val="24"/>
              </w:rPr>
              <w:t>团队成员政治审查意见</w:t>
            </w:r>
            <w:r>
              <w:rPr>
                <w:rFonts w:ascii="UAHCRI+TimesNewRomanPSMT" w:hAnsi="UAHCRI+TimesNewRomanPSMT" w:cs="UAHCRI+TimesNewRomanPSMT"/>
                <w:color w:val="000000"/>
                <w:spacing w:val="1"/>
                <w:sz w:val="24"/>
              </w:rPr>
              <w:t>”</w:t>
            </w:r>
            <w:r>
              <w:rPr>
                <w:rFonts w:ascii="KMUKPA+FangSong_GB2312" w:hAnsi="KMUKPA+FangSong_GB2312" w:cs="KMUKPA+FangSong_GB2312"/>
                <w:color w:val="000000"/>
                <w:spacing w:val="2"/>
                <w:sz w:val="24"/>
              </w:rPr>
              <w:t>，以及提</w:t>
            </w:r>
          </w:p>
          <w:p w14:paraId="3160759A">
            <w:pPr>
              <w:spacing w:before="102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KMUKPA+FangSong_GB2312" w:hAnsi="KMUKPA+FangSong_GB2312" w:cs="KMUKPA+FangSong_GB2312"/>
                <w:color w:val="000000"/>
                <w:spacing w:val="0"/>
                <w:sz w:val="24"/>
              </w:rPr>
              <w:t>交的资料，或者举报属实</w:t>
            </w:r>
          </w:p>
        </w:tc>
      </w:tr>
    </w:tbl>
    <w:p w14:paraId="5B10B3CE">
      <w:pPr>
        <w:spacing w:before="230" w:after="0" w:line="298" w:lineRule="exact"/>
        <w:ind w:left="65" w:right="2693" w:firstLine="1243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申报材料造假</w:t>
      </w:r>
      <w:r>
        <w:rPr>
          <w:rFonts w:ascii="Times New Roman"/>
          <w:color w:val="000000"/>
          <w:spacing w:val="1337"/>
          <w:sz w:val="24"/>
        </w:rPr>
        <w:t xml:space="preserve"> 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查看提交的材料，或举报属实 申报材料</w:t>
      </w:r>
    </w:p>
    <w:p w14:paraId="13554A9A">
      <w:pPr>
        <w:spacing w:before="24" w:after="0" w:line="250" w:lineRule="exact"/>
        <w:ind w:left="13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MUKPA+FangSong_GB2312" w:hAnsi="KMUKPA+FangSong_GB2312" w:cs="KMUKPA+FangSong_GB2312"/>
          <w:color w:val="000000"/>
          <w:spacing w:val="0"/>
          <w:sz w:val="24"/>
        </w:rPr>
        <w:t>发现且确认有侵权现象</w:t>
      </w:r>
      <w:r>
        <w:rPr>
          <w:rFonts w:ascii="Times New Roman"/>
          <w:color w:val="000000"/>
          <w:spacing w:val="377"/>
          <w:sz w:val="24"/>
        </w:rPr>
        <w:t xml:space="preserve"> </w:t>
      </w:r>
      <w:r>
        <w:rPr>
          <w:rFonts w:ascii="KMUKPA+FangSong_GB2312" w:hAnsi="KMUKPA+FangSong_GB2312" w:cs="KMUKPA+FangSong_GB2312"/>
          <w:color w:val="000000"/>
          <w:spacing w:val="0"/>
          <w:sz w:val="24"/>
        </w:rPr>
        <w:t>查看提交的材料，或举报属实</w:t>
      </w:r>
    </w:p>
    <w:sectPr>
      <w:pgSz w:w="11900" w:h="16820"/>
      <w:pgMar w:top="1514" w:right="100" w:bottom="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80E7A367-6F46-471C-95EA-F8236ADB716A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00B56961-4E4C-43C1-B51C-964DC66FD66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57303E7B-BFBB-40FB-9925-9DB9D13823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43827232-7036-456C-9E8B-026866E01DF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5EAC3A9-6F5F-48DD-AE7A-EE477569A7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119060C-3C67-4BA4-909C-67BFF4052F3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DA580E0-0D1D-4052-885F-D03E3B6661A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  <w:embedRegular r:id="rId8" w:fontKey="{25EFBE55-1965-430D-8E4B-3866246A5A35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UAHCRI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EA7E0990-A80A-482B-B853-FB44EED8EDFF}"/>
  </w:font>
  <w:font w:name="KMUKPA+FangSong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B2D4BB00-255A-4EDC-B747-2EF5FBB39C83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11" w:fontKey="{61B8CAFE-9E6F-4186-8578-1B67CEA8E6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3E0D39A0"/>
    <w:rsid w:val="6CE8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1243</Words>
  <Characters>1266</Characters>
  <Lines>0</Lines>
  <Paragraphs>75</Paragraphs>
  <TotalTime>3</TotalTime>
  <ScaleCrop>false</ScaleCrop>
  <LinksUpToDate>false</LinksUpToDate>
  <CharactersWithSpaces>1288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2024-11-28T18:00:00Z</dcterms:created>
  <dc:creator>Administrator</dc:creator>
  <cp:lastModifiedBy>haha</cp:lastModifiedBy>
  <dcterms:modified xsi:type="dcterms:W3CDTF">2024-11-28T10:06:28Z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8EB995E0417F473FA324ECBC150C2DF4_13</vt:lpwstr>
  </property>
</Properties>
</file>