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tLeast"/>
        <w:jc w:val="center"/>
        <w:rPr>
          <w:rFonts w:eastAsia="黑体"/>
          <w:sz w:val="32"/>
          <w:szCs w:val="32"/>
        </w:rPr>
      </w:pPr>
      <w:r>
        <w:rPr>
          <w:rFonts w:hint="eastAsia" w:eastAsia="黑体"/>
          <w:sz w:val="32"/>
          <w:szCs w:val="32"/>
        </w:rPr>
        <w:t>江苏安全技术职业学院</w:t>
      </w:r>
    </w:p>
    <w:p>
      <w:pPr>
        <w:spacing w:line="240" w:lineRule="atLeast"/>
        <w:jc w:val="center"/>
        <w:rPr>
          <w:rFonts w:hint="eastAsia" w:eastAsia="黑体"/>
          <w:sz w:val="36"/>
          <w:szCs w:val="36"/>
        </w:rPr>
      </w:pPr>
      <w:r>
        <w:rPr>
          <w:rFonts w:hint="eastAsia" w:eastAsia="黑体"/>
          <w:sz w:val="36"/>
          <w:szCs w:val="36"/>
        </w:rPr>
        <w:t>三年制高职</w:t>
      </w:r>
      <w:r>
        <w:rPr>
          <w:rFonts w:hint="eastAsia" w:eastAsia="黑体"/>
          <w:sz w:val="36"/>
          <w:szCs w:val="36"/>
          <w:lang w:val="en-US" w:eastAsia="zh-CN"/>
        </w:rPr>
        <w:t>应急救援技术</w:t>
      </w:r>
      <w:r>
        <w:rPr>
          <w:rFonts w:hint="eastAsia" w:eastAsia="黑体"/>
          <w:sz w:val="36"/>
          <w:szCs w:val="36"/>
        </w:rPr>
        <w:t>专业</w:t>
      </w:r>
      <w:r>
        <w:rPr>
          <w:rFonts w:hint="eastAsia" w:eastAsia="黑体"/>
          <w:sz w:val="36"/>
          <w:szCs w:val="36"/>
          <w:lang w:eastAsia="zh-CN"/>
        </w:rPr>
        <w:t>（</w:t>
      </w:r>
      <w:r>
        <w:rPr>
          <w:rFonts w:hint="eastAsia" w:eastAsia="黑体"/>
          <w:sz w:val="36"/>
          <w:szCs w:val="36"/>
          <w:lang w:val="en-US" w:eastAsia="zh-CN"/>
        </w:rPr>
        <w:t>3+2</w:t>
      </w:r>
      <w:r>
        <w:rPr>
          <w:rFonts w:hint="eastAsia" w:eastAsia="黑体"/>
          <w:sz w:val="36"/>
          <w:szCs w:val="36"/>
          <w:lang w:eastAsia="zh-CN"/>
        </w:rPr>
        <w:t>）</w:t>
      </w:r>
      <w:r>
        <w:rPr>
          <w:rFonts w:hint="eastAsia" w:eastAsia="黑体"/>
          <w:sz w:val="36"/>
          <w:szCs w:val="36"/>
        </w:rPr>
        <w:t>人才培养方案</w:t>
      </w:r>
    </w:p>
    <w:p>
      <w:pPr>
        <w:spacing w:line="240" w:lineRule="atLeast"/>
        <w:jc w:val="center"/>
        <w:rPr>
          <w:rFonts w:eastAsia="黑体"/>
          <w:sz w:val="36"/>
          <w:szCs w:val="36"/>
        </w:rPr>
      </w:pPr>
      <w:r>
        <w:rPr>
          <w:rFonts w:hint="eastAsia" w:eastAsia="黑体"/>
          <w:sz w:val="36"/>
          <w:szCs w:val="36"/>
        </w:rPr>
        <w:t>（</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pPr>
        <w:pStyle w:val="10"/>
        <w:spacing w:before="50"/>
        <w:ind w:firstLine="588" w:firstLineChars="196"/>
        <w:rPr>
          <w:rFonts w:hint="eastAsia" w:ascii="黑体" w:hAnsi="黑体" w:eastAsia="黑体"/>
          <w:sz w:val="30"/>
          <w:szCs w:val="30"/>
        </w:rPr>
      </w:pPr>
    </w:p>
    <w:p>
      <w:pPr>
        <w:pStyle w:val="10"/>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pPr>
        <w:pStyle w:val="10"/>
        <w:spacing w:before="50"/>
        <w:ind w:firstLine="548" w:firstLineChars="196"/>
        <w:rPr>
          <w:rFonts w:hint="eastAsia" w:ascii="仿宋_GB2312" w:eastAsia="仿宋_GB2312"/>
          <w:color w:val="auto"/>
          <w:sz w:val="28"/>
          <w:szCs w:val="28"/>
          <w:lang w:val="en-US" w:eastAsia="zh-CN"/>
        </w:rPr>
      </w:pPr>
      <w:r>
        <w:rPr>
          <w:rFonts w:hint="eastAsia" w:ascii="仿宋_GB2312" w:eastAsia="仿宋_GB2312"/>
          <w:color w:val="auto"/>
          <w:sz w:val="28"/>
          <w:szCs w:val="28"/>
        </w:rPr>
        <w:t>专业名称 应急救援技术</w:t>
      </w:r>
      <w:r>
        <w:rPr>
          <w:rFonts w:hint="eastAsia" w:ascii="仿宋_GB2312" w:eastAsia="仿宋_GB2312"/>
          <w:color w:val="auto"/>
          <w:sz w:val="28"/>
          <w:szCs w:val="28"/>
          <w:lang w:val="en-US" w:eastAsia="zh-CN"/>
        </w:rPr>
        <w:t xml:space="preserve"> </w:t>
      </w:r>
    </w:p>
    <w:p>
      <w:pPr>
        <w:pStyle w:val="10"/>
        <w:spacing w:before="50"/>
        <w:ind w:firstLine="548" w:firstLineChars="196"/>
        <w:rPr>
          <w:rFonts w:hint="eastAsia" w:ascii="仿宋_GB2312" w:eastAsia="仿宋_GB2312"/>
          <w:color w:val="auto"/>
          <w:sz w:val="28"/>
          <w:szCs w:val="28"/>
        </w:rPr>
      </w:pPr>
      <w:r>
        <w:rPr>
          <w:rFonts w:hint="eastAsia" w:ascii="仿宋_GB2312" w:eastAsia="仿宋_GB2312"/>
          <w:color w:val="auto"/>
          <w:sz w:val="28"/>
          <w:szCs w:val="28"/>
        </w:rPr>
        <w:t xml:space="preserve">专业代码 420905 </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二、入学要求</w:t>
      </w:r>
    </w:p>
    <w:p>
      <w:pPr>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普通高级中学毕业、中等职业学校毕业或具有同等学历者。</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三、修业年限</w:t>
      </w:r>
    </w:p>
    <w:p>
      <w:pPr>
        <w:ind w:firstLine="560" w:firstLineChars="200"/>
        <w:rPr>
          <w:rFonts w:hint="eastAsia" w:ascii="仿宋_GB2312" w:hAnsi="Times New Roman" w:eastAsia="仿宋_GB2312"/>
          <w:sz w:val="28"/>
          <w:szCs w:val="28"/>
        </w:rPr>
      </w:pPr>
      <w:r>
        <w:rPr>
          <w:rFonts w:hint="eastAsia" w:ascii="仿宋_GB2312" w:hAnsi="Times New Roman" w:eastAsia="仿宋_GB2312"/>
          <w:sz w:val="28"/>
          <w:szCs w:val="28"/>
        </w:rPr>
        <w:t>基本修业年限为全日制3年，凡在三年基本修业年限内</w:t>
      </w:r>
      <w:r>
        <w:rPr>
          <w:rFonts w:hint="eastAsia" w:ascii="仿宋_GB2312" w:hAnsi="Times New Roman" w:eastAsia="仿宋_GB2312"/>
          <w:sz w:val="28"/>
          <w:szCs w:val="28"/>
          <w:lang w:val="en-US" w:eastAsia="zh-CN"/>
        </w:rPr>
        <w:t>不能</w:t>
      </w:r>
      <w:r>
        <w:rPr>
          <w:rFonts w:hint="eastAsia" w:ascii="仿宋_GB2312" w:hAnsi="Times New Roman" w:eastAsia="仿宋_GB2312"/>
          <w:sz w:val="28"/>
          <w:szCs w:val="28"/>
        </w:rPr>
        <w:t>达到毕业要求的，允许延期完成学业，但最长学业年限不超过</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rPr>
        <w:t>年。</w:t>
      </w:r>
    </w:p>
    <w:p>
      <w:pPr>
        <w:ind w:firstLine="560" w:firstLineChars="200"/>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经考核合格后，进入盐城工学院继续进行2年本科学习。</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四、职业面向</w:t>
      </w:r>
    </w:p>
    <w:p>
      <w:pPr>
        <w:tabs>
          <w:tab w:val="left" w:pos="615"/>
        </w:tabs>
        <w:spacing w:line="300" w:lineRule="auto"/>
        <w:ind w:left="851"/>
        <w:jc w:val="center"/>
        <w:rPr>
          <w:rFonts w:ascii="仿宋" w:hAnsi="仿宋" w:eastAsia="仿宋"/>
          <w:color w:val="auto"/>
          <w:sz w:val="24"/>
          <w:szCs w:val="24"/>
        </w:rPr>
      </w:pPr>
      <w:r>
        <w:rPr>
          <w:rFonts w:hint="eastAsia" w:ascii="仿宋" w:hAnsi="仿宋" w:eastAsia="仿宋"/>
          <w:color w:val="auto"/>
          <w:sz w:val="24"/>
          <w:szCs w:val="24"/>
        </w:rPr>
        <w:t>表</w:t>
      </w:r>
      <w:r>
        <w:rPr>
          <w:rFonts w:ascii="仿宋" w:hAnsi="仿宋" w:eastAsia="仿宋"/>
          <w:color w:val="auto"/>
          <w:sz w:val="24"/>
          <w:szCs w:val="24"/>
        </w:rPr>
        <w:t xml:space="preserve">1  </w:t>
      </w:r>
      <w:r>
        <w:rPr>
          <w:rFonts w:hint="eastAsia" w:ascii="仿宋" w:hAnsi="仿宋" w:eastAsia="仿宋"/>
          <w:color w:val="auto"/>
          <w:sz w:val="24"/>
          <w:szCs w:val="24"/>
          <w:lang w:val="en-US" w:eastAsia="zh-CN"/>
        </w:rPr>
        <w:t>应急救援技术</w:t>
      </w:r>
      <w:r>
        <w:rPr>
          <w:rFonts w:hint="eastAsia" w:ascii="仿宋" w:hAnsi="仿宋" w:eastAsia="仿宋"/>
          <w:color w:val="auto"/>
          <w:sz w:val="24"/>
          <w:szCs w:val="24"/>
        </w:rPr>
        <w:t>专业职业面向</w:t>
      </w:r>
    </w:p>
    <w:tbl>
      <w:tblPr>
        <w:tblStyle w:val="8"/>
        <w:tblpPr w:leftFromText="180" w:rightFromText="180" w:vertAnchor="text" w:horzAnchor="margin" w:tblpXSpec="center" w:tblpY="67"/>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870"/>
        <w:gridCol w:w="1455"/>
        <w:gridCol w:w="998"/>
        <w:gridCol w:w="2169"/>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65"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所属专业大类</w:t>
            </w:r>
          </w:p>
        </w:tc>
        <w:tc>
          <w:tcPr>
            <w:tcW w:w="870"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所属专业类</w:t>
            </w:r>
          </w:p>
        </w:tc>
        <w:tc>
          <w:tcPr>
            <w:tcW w:w="1455"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对应行业</w:t>
            </w:r>
          </w:p>
        </w:tc>
        <w:tc>
          <w:tcPr>
            <w:tcW w:w="998"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主要职业类别</w:t>
            </w:r>
          </w:p>
        </w:tc>
        <w:tc>
          <w:tcPr>
            <w:tcW w:w="2169"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主要岗位类别</w:t>
            </w:r>
          </w:p>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（或技术领域）</w:t>
            </w:r>
          </w:p>
        </w:tc>
        <w:tc>
          <w:tcPr>
            <w:tcW w:w="2829"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专业资格证书和职业技能等级证书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65"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资源环境与安全大类</w:t>
            </w:r>
            <w:r>
              <w:rPr>
                <w:rFonts w:hint="eastAsia" w:ascii="仿宋" w:hAnsi="仿宋" w:eastAsia="仿宋" w:cs="Tahoma"/>
                <w:bCs/>
                <w:color w:val="auto"/>
                <w:kern w:val="0"/>
                <w:szCs w:val="21"/>
                <w:lang w:eastAsia="zh-CN"/>
              </w:rPr>
              <w:t>（</w:t>
            </w:r>
            <w:r>
              <w:rPr>
                <w:rFonts w:hint="eastAsia" w:ascii="仿宋" w:hAnsi="仿宋" w:eastAsia="仿宋" w:cs="Tahoma"/>
                <w:bCs/>
                <w:color w:val="auto"/>
                <w:kern w:val="0"/>
                <w:szCs w:val="21"/>
                <w:lang w:val="en-US" w:eastAsia="zh-CN"/>
              </w:rPr>
              <w:t>42</w:t>
            </w:r>
            <w:r>
              <w:rPr>
                <w:rFonts w:hint="eastAsia" w:ascii="仿宋" w:hAnsi="仿宋" w:eastAsia="仿宋" w:cs="Tahoma"/>
                <w:bCs/>
                <w:color w:val="auto"/>
                <w:kern w:val="0"/>
                <w:szCs w:val="21"/>
                <w:lang w:eastAsia="zh-CN"/>
              </w:rPr>
              <w:t>）</w:t>
            </w:r>
          </w:p>
          <w:p>
            <w:pPr>
              <w:spacing w:line="360" w:lineRule="exact"/>
              <w:jc w:val="center"/>
              <w:rPr>
                <w:rFonts w:hint="eastAsia" w:ascii="仿宋" w:hAnsi="仿宋" w:eastAsia="仿宋" w:cs="Tahoma"/>
                <w:bCs/>
                <w:color w:val="auto"/>
                <w:kern w:val="0"/>
                <w:szCs w:val="21"/>
              </w:rPr>
            </w:pPr>
          </w:p>
        </w:tc>
        <w:tc>
          <w:tcPr>
            <w:tcW w:w="870"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fldChar w:fldCharType="begin"/>
            </w:r>
            <w:r>
              <w:rPr>
                <w:rFonts w:hint="eastAsia" w:ascii="仿宋" w:hAnsi="仿宋" w:eastAsia="仿宋" w:cs="Tahoma"/>
                <w:bCs/>
                <w:color w:val="auto"/>
                <w:kern w:val="0"/>
                <w:szCs w:val="21"/>
              </w:rPr>
              <w:instrText xml:space="preserve"> HYPERLINK "http://www.moe.gov.cn/s78/A07/zcs_ztzl/2017_zt06/17zt06_bznr/bznr_zdzyxxzyml/gaozhiben/ziyuan/202209/P020220905552491267630.pdf" \o "2209 安全类" \t "http://www.moe.gov.cn/s78/A07/zcs_ztzl/2017_zt06/17zt06_bznr/bznr_zdzyxxzyml/gaozhiben/ziyuan/_blank" </w:instrText>
            </w:r>
            <w:r>
              <w:rPr>
                <w:rFonts w:hint="eastAsia" w:ascii="仿宋" w:hAnsi="仿宋" w:eastAsia="仿宋" w:cs="Tahoma"/>
                <w:bCs/>
                <w:color w:val="auto"/>
                <w:kern w:val="0"/>
                <w:szCs w:val="21"/>
              </w:rPr>
              <w:fldChar w:fldCharType="separate"/>
            </w:r>
            <w:r>
              <w:rPr>
                <w:rFonts w:hint="eastAsia" w:ascii="仿宋" w:hAnsi="仿宋" w:eastAsia="仿宋" w:cs="Tahoma"/>
                <w:bCs/>
                <w:color w:val="auto"/>
                <w:kern w:val="0"/>
                <w:szCs w:val="21"/>
              </w:rPr>
              <w:t>安全类</w:t>
            </w:r>
            <w:r>
              <w:rPr>
                <w:rFonts w:hint="eastAsia" w:ascii="仿宋" w:hAnsi="仿宋" w:eastAsia="仿宋" w:cs="Tahoma"/>
                <w:bCs/>
                <w:color w:val="auto"/>
                <w:kern w:val="0"/>
                <w:szCs w:val="21"/>
              </w:rPr>
              <w:fldChar w:fldCharType="end"/>
            </w:r>
            <w:r>
              <w:rPr>
                <w:rFonts w:hint="eastAsia" w:ascii="仿宋" w:hAnsi="仿宋" w:eastAsia="仿宋" w:cs="Tahoma"/>
                <w:bCs/>
                <w:color w:val="auto"/>
                <w:kern w:val="0"/>
                <w:szCs w:val="21"/>
                <w:lang w:eastAsia="zh-CN"/>
              </w:rPr>
              <w:t>（</w:t>
            </w:r>
            <w:r>
              <w:rPr>
                <w:rFonts w:hint="eastAsia" w:ascii="仿宋" w:hAnsi="仿宋" w:eastAsia="仿宋" w:cs="Tahoma"/>
                <w:bCs/>
                <w:color w:val="auto"/>
                <w:kern w:val="0"/>
                <w:szCs w:val="21"/>
                <w:lang w:val="en-US" w:eastAsia="zh-CN"/>
              </w:rPr>
              <w:t>4209</w:t>
            </w:r>
            <w:r>
              <w:rPr>
                <w:rFonts w:hint="eastAsia" w:ascii="仿宋" w:hAnsi="仿宋" w:eastAsia="仿宋" w:cs="Tahoma"/>
                <w:bCs/>
                <w:color w:val="auto"/>
                <w:kern w:val="0"/>
                <w:szCs w:val="21"/>
                <w:lang w:eastAsia="zh-CN"/>
              </w:rPr>
              <w:t>）</w:t>
            </w:r>
          </w:p>
        </w:tc>
        <w:tc>
          <w:tcPr>
            <w:tcW w:w="1455" w:type="dxa"/>
            <w:vAlign w:val="center"/>
          </w:tcPr>
          <w:p>
            <w:pPr>
              <w:jc w:val="left"/>
              <w:rPr>
                <w:rFonts w:hint="eastAsia" w:ascii="仿宋" w:hAnsi="仿宋" w:eastAsia="仿宋" w:cs="Tahoma"/>
                <w:bCs/>
                <w:color w:val="auto"/>
                <w:kern w:val="0"/>
                <w:szCs w:val="21"/>
                <w:lang w:eastAsia="zh-CN"/>
              </w:rPr>
            </w:pPr>
            <w:r>
              <w:rPr>
                <w:rFonts w:hint="eastAsia" w:ascii="仿宋" w:hAnsi="仿宋" w:eastAsia="仿宋" w:cs="Tahoma"/>
                <w:bCs/>
                <w:color w:val="auto"/>
                <w:kern w:val="0"/>
                <w:szCs w:val="21"/>
              </w:rPr>
              <w:t>公共安全管理机构</w:t>
            </w:r>
            <w:r>
              <w:rPr>
                <w:rFonts w:hint="eastAsia" w:ascii="仿宋" w:hAnsi="仿宋" w:eastAsia="仿宋" w:cs="Tahoma"/>
                <w:bCs/>
                <w:color w:val="auto"/>
                <w:kern w:val="0"/>
                <w:szCs w:val="21"/>
                <w:lang w:eastAsia="zh-CN"/>
              </w:rPr>
              <w:t>（</w:t>
            </w:r>
            <w:r>
              <w:rPr>
                <w:rFonts w:hint="eastAsia" w:ascii="仿宋" w:hAnsi="仿宋" w:eastAsia="仿宋" w:cs="Tahoma"/>
                <w:bCs/>
                <w:color w:val="auto"/>
                <w:kern w:val="0"/>
                <w:szCs w:val="21"/>
                <w:lang w:val="en-US" w:eastAsia="zh-CN"/>
              </w:rPr>
              <w:t>9223</w:t>
            </w:r>
            <w:r>
              <w:rPr>
                <w:rFonts w:hint="eastAsia" w:ascii="仿宋" w:hAnsi="仿宋" w:eastAsia="仿宋" w:cs="Tahoma"/>
                <w:bCs/>
                <w:color w:val="auto"/>
                <w:kern w:val="0"/>
                <w:szCs w:val="21"/>
                <w:lang w:eastAsia="zh-CN"/>
              </w:rPr>
              <w:t>）</w:t>
            </w:r>
          </w:p>
          <w:p>
            <w:pPr>
              <w:rPr>
                <w:rFonts w:hint="eastAsia" w:ascii="仿宋" w:hAnsi="仿宋" w:eastAsia="仿宋" w:cs="Tahoma"/>
                <w:bCs/>
                <w:color w:val="auto"/>
                <w:kern w:val="0"/>
                <w:szCs w:val="21"/>
              </w:rPr>
            </w:pPr>
            <w:r>
              <w:rPr>
                <w:rFonts w:hint="eastAsia" w:ascii="仿宋" w:hAnsi="仿宋" w:eastAsia="仿宋" w:cs="Tahoma"/>
                <w:bCs/>
                <w:color w:val="auto"/>
                <w:kern w:val="0"/>
                <w:szCs w:val="21"/>
              </w:rPr>
              <w:t>消防管理机构</w:t>
            </w:r>
            <w:r>
              <w:rPr>
                <w:rFonts w:hint="eastAsia" w:ascii="仿宋" w:hAnsi="仿宋" w:eastAsia="仿宋" w:cs="Tahoma"/>
                <w:bCs/>
                <w:color w:val="auto"/>
                <w:kern w:val="0"/>
                <w:szCs w:val="21"/>
                <w:lang w:eastAsia="zh-CN"/>
              </w:rPr>
              <w:t>（9291）</w:t>
            </w:r>
          </w:p>
        </w:tc>
        <w:tc>
          <w:tcPr>
            <w:tcW w:w="998"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消防和应急救援人员3-02-03（GBM30203）</w:t>
            </w:r>
          </w:p>
          <w:p>
            <w:pPr>
              <w:spacing w:line="360" w:lineRule="exact"/>
              <w:jc w:val="center"/>
              <w:rPr>
                <w:rFonts w:hint="eastAsia" w:ascii="仿宋" w:hAnsi="仿宋" w:eastAsia="仿宋" w:cs="Tahoma"/>
                <w:bCs/>
                <w:color w:val="auto"/>
                <w:kern w:val="0"/>
                <w:szCs w:val="21"/>
                <w:lang w:eastAsia="zh-CN"/>
              </w:rPr>
            </w:pPr>
          </w:p>
        </w:tc>
        <w:tc>
          <w:tcPr>
            <w:tcW w:w="2169" w:type="dxa"/>
            <w:vAlign w:val="center"/>
          </w:tcPr>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应急救援员</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消防员</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森林消防员</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其他安全和消防及辅助人员</w:t>
            </w:r>
          </w:p>
          <w:p>
            <w:pPr>
              <w:spacing w:line="360" w:lineRule="exact"/>
              <w:jc w:val="center"/>
              <w:rPr>
                <w:rFonts w:hint="eastAsia" w:ascii="仿宋" w:hAnsi="仿宋" w:eastAsia="仿宋" w:cs="Tahoma"/>
                <w:bCs/>
                <w:color w:val="auto"/>
                <w:kern w:val="0"/>
                <w:szCs w:val="21"/>
              </w:rPr>
            </w:pPr>
          </w:p>
        </w:tc>
        <w:tc>
          <w:tcPr>
            <w:tcW w:w="2829" w:type="dxa"/>
            <w:vAlign w:val="top"/>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 xml:space="preserve">应急救援员证 </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注册安全工程师</w:t>
            </w:r>
          </w:p>
          <w:p>
            <w:pPr>
              <w:spacing w:line="360" w:lineRule="exact"/>
              <w:jc w:val="center"/>
              <w:rPr>
                <w:rFonts w:hint="eastAsia" w:ascii="仿宋" w:hAnsi="仿宋" w:eastAsia="仿宋" w:cs="Tahoma"/>
                <w:bCs/>
                <w:color w:val="auto"/>
                <w:kern w:val="0"/>
                <w:szCs w:val="21"/>
                <w:lang w:eastAsia="zh-CN"/>
              </w:rPr>
            </w:pPr>
            <w:r>
              <w:rPr>
                <w:rFonts w:hint="eastAsia" w:ascii="仿宋" w:hAnsi="仿宋" w:eastAsia="仿宋" w:cs="Tahoma"/>
                <w:bCs/>
                <w:color w:val="auto"/>
                <w:kern w:val="0"/>
                <w:szCs w:val="21"/>
                <w:lang w:val="en-US" w:eastAsia="zh-CN"/>
              </w:rPr>
              <w:t>无人机操作员证</w:t>
            </w:r>
          </w:p>
        </w:tc>
      </w:tr>
    </w:tbl>
    <w:p>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pPr>
        <w:spacing w:before="156" w:beforeLines="50"/>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（一）培养目标</w:t>
      </w:r>
    </w:p>
    <w:p>
      <w:pPr>
        <w:spacing w:before="156" w:beforeLines="50"/>
        <w:ind w:firstLine="560" w:firstLineChars="200"/>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本专业培养理想信念坚定，德、智、体、美、劳全面发展，具有社会主义核心价值观、良好的人文素养、职业道德和创新意识安全意识、精益求精的工匠精神，较强的就业能力和可持续发展的能力；掌握现场救援技能、应急救护与处置、应急指挥、“一案三制”应急管理等专业知识和技术技能，面向各类应急救援队、各级应急管理部门及企事业单位等的救援技术服务职业群，能够从事应急救援、应急指挥及应急管理等工作的高素质技术技能型人才。</w:t>
      </w:r>
    </w:p>
    <w:p>
      <w:pPr>
        <w:spacing w:before="156" w:beforeLines="50"/>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（二）培养规格</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本专业毕业生应在素质、知识和能力等方面达到以下要求。</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1.素质目标</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思想政治素质目标：具有坚定正确的政治方向。坚决拥护中国共产党领导和我国社会主义制度，在习近平新时代中国特色社会主义思想指引下，树立正确的世界观、人生观、价值观，具有较高的政治觉悟、深厚的爱国情感、国家认同感、中华民族自豪感；崇尚宪法、遵守法纪；具有社会责任感和主人翁意识。</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身心素质目标：具有健康的体魄和心理、健全的人格，能够掌握基本运动知识和一两项运动技能；具有感受美、表现美、鉴赏美、创造美的能力。</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文化素质目标：具有一定的审美和人文素养，能够形成一两项艺术特长或爱好；掌握一定的学习方法，具有良好的生活习惯、行为习惯和自我管理能力。</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职业素养目标：具有安全技术人才独具的职业道德和职业素养。崇德向善、尊崇科学、爱岗敬业，无私奉献；尊重劳动、热爱生命，具有较强的逻辑思维能力和人际沟通能力；具有安全意识、法律意识、绿色环保意识、信息素养、创新精神；具有较强的岗位责任感和创造安全的能力，具有职业生涯规划意识；具有绿色发展理念。</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2.知识目标</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基础知识目标：具备扎实的英语、数学、计算机操作、哲学、公文写作等公共基础知识。</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专业知识目标：了解安全生产方面的法律，与岗位群相关的行政法规、标准、规章及地方性法规的基本知识；掌握电工技术、工程制图、安全管理、机电安全、机械基础、安全检测与监控技术、安全评价、消防安全技术等专业基础理论知识和专业知识；理解并应用生产过程中的各类事故隐患辨识、应急处置的技术与方法。</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3.能力目标</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通用能力：具有组织企业员工安全教育培训工作的能力；具有将物联网、大数据等现代信息技术应用于安全管理领域的能力；具有探究学习、终身学习和可持续发展的能力。</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专业能力：具有现场安全装备检查、事故隐患排查治理的能力；具有危险源辨识、风险评估、安全风险分级管控的能力；具有日常安全管理、组织扑救初起火灾和现场应急处置的能力； 具有操作智能安全监测与监控设备设施的能力；具有编制生产安全事故应急救援预案的能力。</w:t>
      </w:r>
    </w:p>
    <w:p>
      <w:pPr>
        <w:pStyle w:val="10"/>
        <w:spacing w:before="50"/>
        <w:ind w:firstLine="588" w:firstLineChars="196"/>
        <w:rPr>
          <w:rFonts w:ascii="宋体" w:hAnsi="宋体"/>
          <w:sz w:val="24"/>
        </w:rPr>
      </w:pPr>
      <w:r>
        <w:rPr>
          <w:rFonts w:hint="eastAsia" w:ascii="黑体" w:hAnsi="黑体" w:eastAsia="黑体"/>
          <w:sz w:val="30"/>
          <w:szCs w:val="30"/>
        </w:rPr>
        <w:t>六、课程设置及要求</w:t>
      </w:r>
    </w:p>
    <w:p>
      <w:pPr>
        <w:pStyle w:val="10"/>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pPr>
        <w:pStyle w:val="10"/>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pPr>
        <w:pStyle w:val="10"/>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71"/>
        <w:gridCol w:w="2308"/>
        <w:gridCol w:w="95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42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4221" w:type="dxa"/>
            <w:vMerge w:val="restart"/>
            <w:tcBorders>
              <w:top w:val="single" w:color="auto" w:sz="4" w:space="0"/>
              <w:left w:val="single" w:color="auto" w:sz="4" w:space="0"/>
              <w:right w:val="single" w:color="auto" w:sz="4" w:space="0"/>
            </w:tcBorders>
            <w:vAlign w:val="center"/>
          </w:tcPr>
          <w:p>
            <w:pPr>
              <w:numPr>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pPr>
              <w:numPr>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pPr>
              <w:numPr>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pPr>
              <w:numPr>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pPr>
              <w:numPr>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4221" w:type="dxa"/>
            <w:vMerge w:val="continue"/>
            <w:tcBorders>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422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4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4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4221"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4221" w:type="dxa"/>
            <w:tcBorders>
              <w:top w:val="single" w:color="auto" w:sz="4" w:space="0"/>
              <w:left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4221"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955" w:type="dxa"/>
            <w:vMerge w:val="restart"/>
            <w:tcBorders>
              <w:top w:val="nil"/>
              <w:left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4221"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955" w:type="dxa"/>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4221" w:type="dxa"/>
            <w:vMerge w:val="continue"/>
            <w:tcBorders>
              <w:left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955" w:type="dxa"/>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4221" w:type="dxa"/>
            <w:vMerge w:val="continue"/>
            <w:tcBorders>
              <w:left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955" w:type="dxa"/>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4221" w:type="dxa"/>
            <w:vMerge w:val="continue"/>
            <w:tcBorders>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4221"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4221"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4221" w:type="dxa"/>
            <w:tcBorders>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4221" w:type="dxa"/>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4221" w:type="dxa"/>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auto"/>
                <w:szCs w:val="21"/>
                <w:highlight w:val="none"/>
                <w:lang w:val="en-US" w:eastAsia="zh-CN"/>
              </w:rPr>
            </w:pPr>
          </w:p>
        </w:tc>
        <w:tc>
          <w:tcPr>
            <w:tcW w:w="4221" w:type="dxa"/>
            <w:tcBorders>
              <w:top w:val="single" w:color="auto" w:sz="4" w:space="0"/>
              <w:bottom w:val="single" w:color="auto" w:sz="4" w:space="0"/>
            </w:tcBorders>
            <w:vAlign w:val="center"/>
          </w:tcPr>
          <w:p>
            <w:pPr>
              <w:tabs>
                <w:tab w:val="left" w:pos="4914"/>
              </w:tabs>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pPr>
        <w:pStyle w:val="10"/>
        <w:spacing w:before="50"/>
        <w:ind w:firstLine="470" w:firstLineChars="196"/>
        <w:jc w:val="center"/>
        <w:rPr>
          <w:rFonts w:hint="eastAsia" w:ascii="仿宋" w:hAnsi="仿宋" w:eastAsia="仿宋"/>
          <w:sz w:val="24"/>
        </w:rPr>
      </w:pPr>
    </w:p>
    <w:p>
      <w:pPr>
        <w:pStyle w:val="10"/>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pPr>
        <w:pStyle w:val="10"/>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5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Cs w:val="21"/>
              </w:rPr>
            </w:pPr>
            <w:r>
              <w:rPr>
                <w:rFonts w:hint="eastAsia" w:ascii="仿宋" w:hAnsi="仿宋" w:eastAsia="仿宋"/>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p>
        </w:tc>
      </w:tr>
    </w:tbl>
    <w:p>
      <w:pPr>
        <w:pStyle w:val="10"/>
        <w:spacing w:before="50"/>
        <w:ind w:firstLine="548" w:firstLineChars="196"/>
        <w:rPr>
          <w:rFonts w:ascii="仿宋_GB2312" w:eastAsia="仿宋_GB2312"/>
          <w:sz w:val="28"/>
          <w:szCs w:val="28"/>
        </w:rPr>
      </w:pPr>
      <w:r>
        <w:rPr>
          <w:rFonts w:hint="eastAsia" w:ascii="仿宋_GB2312" w:eastAsia="仿宋_GB2312"/>
          <w:sz w:val="28"/>
          <w:szCs w:val="28"/>
        </w:rPr>
        <w:t>2.专业</w:t>
      </w:r>
      <w:r>
        <w:rPr>
          <w:rFonts w:hint="eastAsia" w:ascii="仿宋_GB2312" w:eastAsia="仿宋_GB2312"/>
          <w:sz w:val="28"/>
          <w:szCs w:val="28"/>
          <w:lang w:val="en-US" w:eastAsia="zh-CN"/>
        </w:rPr>
        <w:t>必修</w:t>
      </w:r>
      <w:r>
        <w:rPr>
          <w:rFonts w:hint="eastAsia" w:ascii="仿宋_GB2312" w:eastAsia="仿宋_GB2312"/>
          <w:sz w:val="28"/>
          <w:szCs w:val="28"/>
        </w:rPr>
        <w:t>课程</w:t>
      </w:r>
    </w:p>
    <w:p>
      <w:pPr>
        <w:pStyle w:val="10"/>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pPr>
        <w:pStyle w:val="10"/>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8"/>
        <w:gridCol w:w="2705"/>
        <w:gridCol w:w="781"/>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类别</w:t>
            </w:r>
          </w:p>
        </w:tc>
        <w:tc>
          <w:tcPr>
            <w:tcW w:w="27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课程名称</w:t>
            </w:r>
          </w:p>
        </w:tc>
        <w:tc>
          <w:tcPr>
            <w:tcW w:w="78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olor w:val="auto"/>
                <w:szCs w:val="21"/>
              </w:rPr>
            </w:pPr>
            <w:r>
              <w:rPr>
                <w:rFonts w:hint="eastAsia" w:ascii="仿宋" w:hAnsi="仿宋" w:eastAsia="仿宋"/>
                <w:color w:val="auto"/>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应急法律法规</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1.《突发事件应对法》相关知识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2.《安全生产法》相关知识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3.《消防法》相关知识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4.《防震减灾法》相关知识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5.《防洪法》相关知识。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6.《安全生产事故报告和调查处理条例》</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7.《自然灾害救助条例》相关知识</w:t>
            </w:r>
          </w:p>
          <w:p>
            <w:pPr>
              <w:adjustRightInd w:val="0"/>
              <w:snapToGrid w:val="0"/>
              <w:jc w:val="left"/>
              <w:rPr>
                <w:rFonts w:ascii="仿宋" w:hAnsi="仿宋" w:eastAsia="仿宋"/>
                <w:color w:val="auto"/>
                <w:szCs w:val="21"/>
              </w:rPr>
            </w:pPr>
            <w:r>
              <w:rPr>
                <w:rFonts w:hint="eastAsia" w:ascii="仿宋" w:hAnsi="仿宋" w:eastAsia="仿宋"/>
                <w:color w:val="auto"/>
                <w:szCs w:val="21"/>
              </w:rPr>
              <w:t>8.《消防站（队）建设标准》相关知识。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pacing w:val="-20"/>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防火防爆技术（理实一体化）</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64</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 燃烧、爆炸的历史发展；火灾爆炸事故研究的意义。</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2.燃烧的概念、条件、过程及形式；</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3.爆炸的概念、种类；爆炸极限、机理、特性。</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4.防火安全设计、技术措施，装置及灭火设施。</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5.防爆基本技术措施、限制火灾爆炸扩散、蔓延、防爆安全装置。</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6.危险化学品及其分类、安全评价储存、包装、运输、废弃物的安全处理及常见火灾扑救。</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7.化工生产、乙炔站、加油站、液化石油站、油库等典型场所的防火防爆技术。</w:t>
            </w:r>
          </w:p>
          <w:p>
            <w:pPr>
              <w:adjustRightInd w:val="0"/>
              <w:snapToGrid w:val="0"/>
              <w:jc w:val="left"/>
              <w:rPr>
                <w:rFonts w:ascii="仿宋" w:hAnsi="仿宋" w:eastAsia="仿宋"/>
                <w:color w:val="auto"/>
                <w:szCs w:val="21"/>
              </w:rPr>
            </w:pPr>
            <w:r>
              <w:rPr>
                <w:rFonts w:hint="eastAsia" w:ascii="仿宋" w:hAnsi="仿宋" w:eastAsia="仿宋"/>
                <w:color w:val="auto"/>
                <w:szCs w:val="21"/>
              </w:rPr>
              <w:t>8.火灾与爆炸事故管理：报警、处置、救护、事故调查、统计及事故档案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应急管理</w:t>
            </w:r>
            <w:r>
              <w:rPr>
                <w:rFonts w:hint="eastAsia" w:ascii="仿宋" w:hAnsi="仿宋" w:eastAsia="仿宋"/>
                <w:color w:val="auto"/>
                <w:szCs w:val="21"/>
                <w:lang w:val="en-US" w:eastAsia="zh-CN"/>
              </w:rPr>
              <w:t>概论</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1.概述</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2.应急法律体系</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3.应急体系</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4.应急预案与演练</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5.应急设备设施</w:t>
            </w:r>
          </w:p>
          <w:p>
            <w:pPr>
              <w:adjustRightInd w:val="0"/>
              <w:snapToGrid w:val="0"/>
              <w:jc w:val="left"/>
              <w:rPr>
                <w:rFonts w:ascii="仿宋" w:hAnsi="仿宋" w:eastAsia="仿宋"/>
                <w:color w:val="auto"/>
                <w:szCs w:val="21"/>
              </w:rPr>
            </w:pPr>
            <w:r>
              <w:rPr>
                <w:rFonts w:hint="eastAsia" w:ascii="仿宋" w:hAnsi="仿宋" w:eastAsia="仿宋"/>
                <w:color w:val="auto"/>
                <w:szCs w:val="21"/>
              </w:rPr>
              <w:t>6.现场急救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危险源辨识与风险防范</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64</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1.概论</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2.危险和有害因素辨识基础</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3.重大危险源辨识依据</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4.重大危险源辨识与评价</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5.重大事故后果分析</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6.重大事故危害后果数值模拟</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7.重大危险源控制技术</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8.重大危险源管理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心理援助与危机干预</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1.心理危机概述</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2.心理危机的应激反应</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3.心理危机现场评估</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4.心理危机干预的理论与技术</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5.心理危机干预的组织与实施</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6.创伤后应激障碍危机干预实践应用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olor w:val="auto"/>
                <w:szCs w:val="21"/>
              </w:rPr>
            </w:pPr>
            <w:r>
              <w:rPr>
                <w:rFonts w:hint="eastAsia" w:ascii="仿宋" w:hAnsi="仿宋" w:eastAsia="仿宋"/>
                <w:color w:val="auto"/>
                <w:szCs w:val="21"/>
              </w:rPr>
              <w:t>现场急救技术（理实一体化）</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1.人体骨骼组成；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2.人体器官组成；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3.人体血管组成及出血的特征；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4.伤情判断与评估；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5.现场急救器材；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6.心肺复苏； </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rPr>
              <w:t>7.止血、包扎、固定、搬运。</w:t>
            </w:r>
          </w:p>
        </w:tc>
      </w:tr>
    </w:tbl>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7"/>
        <w:gridCol w:w="2695"/>
        <w:gridCol w:w="802"/>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类别</w:t>
            </w:r>
          </w:p>
        </w:tc>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课程名称</w:t>
            </w:r>
          </w:p>
        </w:tc>
        <w:tc>
          <w:tcPr>
            <w:tcW w:w="8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olor w:val="auto"/>
                <w:szCs w:val="21"/>
              </w:rPr>
            </w:pPr>
            <w:r>
              <w:rPr>
                <w:rFonts w:hint="eastAsia" w:ascii="仿宋" w:hAnsi="仿宋" w:eastAsia="仿宋"/>
                <w:color w:val="auto"/>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应急通信技术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1.应急通信发展状况</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2.应急通讯系统组成</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3.应急通信技术分析</w:t>
            </w:r>
          </w:p>
          <w:p>
            <w:pPr>
              <w:adjustRightInd w:val="0"/>
              <w:snapToGrid w:val="0"/>
              <w:jc w:val="left"/>
              <w:rPr>
                <w:rFonts w:ascii="仿宋" w:hAnsi="仿宋" w:eastAsia="仿宋"/>
                <w:color w:val="auto"/>
                <w:szCs w:val="21"/>
              </w:rPr>
            </w:pPr>
            <w:r>
              <w:rPr>
                <w:rFonts w:hint="eastAsia" w:ascii="仿宋" w:hAnsi="仿宋" w:eastAsia="仿宋"/>
                <w:color w:val="auto"/>
                <w:szCs w:val="21"/>
              </w:rPr>
              <w:t>4.常用通信技术运用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pacing w:val="-20"/>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应急指挥技术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1</w:t>
            </w:r>
            <w:r>
              <w:rPr>
                <w:rFonts w:hint="eastAsia" w:ascii="仿宋" w:hAnsi="仿宋" w:eastAsia="仿宋"/>
                <w:color w:val="auto"/>
                <w:szCs w:val="21"/>
              </w:rPr>
              <w:t>.突发公共事件应急指挥基础</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2</w:t>
            </w:r>
            <w:r>
              <w:rPr>
                <w:rFonts w:hint="eastAsia" w:ascii="仿宋" w:hAnsi="仿宋" w:eastAsia="仿宋"/>
                <w:color w:val="auto"/>
                <w:szCs w:val="21"/>
              </w:rPr>
              <w:t>.自然灾害应急指挥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3</w:t>
            </w:r>
            <w:r>
              <w:rPr>
                <w:rFonts w:hint="eastAsia" w:ascii="仿宋" w:hAnsi="仿宋" w:eastAsia="仿宋"/>
                <w:color w:val="auto"/>
                <w:szCs w:val="21"/>
              </w:rPr>
              <w:t>.生产安全事故灾难应急指挥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4</w:t>
            </w:r>
            <w:r>
              <w:rPr>
                <w:rFonts w:hint="eastAsia" w:ascii="仿宋" w:hAnsi="仿宋" w:eastAsia="仿宋"/>
                <w:color w:val="auto"/>
                <w:szCs w:val="21"/>
              </w:rPr>
              <w:t>.公共卫生突发事件应急指挥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5</w:t>
            </w:r>
            <w:r>
              <w:rPr>
                <w:rFonts w:hint="eastAsia" w:ascii="仿宋" w:hAnsi="仿宋" w:eastAsia="仿宋"/>
                <w:color w:val="auto"/>
                <w:szCs w:val="21"/>
              </w:rPr>
              <w:t>.消防设施的种类及使用方法；</w:t>
            </w:r>
          </w:p>
          <w:p>
            <w:pPr>
              <w:adjustRightInd w:val="0"/>
              <w:snapToGrid w:val="0"/>
              <w:jc w:val="left"/>
              <w:rPr>
                <w:rFonts w:ascii="仿宋" w:hAnsi="仿宋" w:eastAsia="仿宋"/>
                <w:color w:val="auto"/>
                <w:szCs w:val="21"/>
              </w:rPr>
            </w:pPr>
            <w:r>
              <w:rPr>
                <w:rFonts w:hint="eastAsia" w:ascii="仿宋" w:hAnsi="仿宋" w:eastAsia="仿宋"/>
                <w:color w:val="auto"/>
                <w:szCs w:val="21"/>
                <w:lang w:val="en-US" w:eastAsia="zh-CN"/>
              </w:rPr>
              <w:t>6</w:t>
            </w:r>
            <w:r>
              <w:rPr>
                <w:rFonts w:hint="eastAsia" w:ascii="仿宋" w:hAnsi="仿宋" w:eastAsia="仿宋"/>
                <w:color w:val="auto"/>
                <w:szCs w:val="21"/>
              </w:rPr>
              <w:t>.应急救援方案、行动计划、安全技术措施制定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火灾事故救援</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1.《危险化学品安全管理条例》</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2.《危险化学品企业现场处置方案》</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3.危险化学品的分类与安全标签；</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4.危险化学品重大危险源辨识；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5.危险化学品危害因素与隐患排查；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6.危险化学品安全技术管理；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7.危险化学品应急救援处置</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8.危险化学品火灾扑救技术措施</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9.化工火灾控制与灭火</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10.危险化学品火灾现场扑救</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11.消防物资与技术装备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突发事件应急处置</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应急响应的组织沟通与协调</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突发事件的响应与应急处置</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突发事件处置的应急保障体系</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突发事件应急处置中的舆情引导</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国外突发事件应急处置的经验借鉴</w:t>
            </w:r>
          </w:p>
          <w:p>
            <w:pPr>
              <w:adjustRightInd w:val="0"/>
              <w:snapToGrid w:val="0"/>
              <w:jc w:val="left"/>
              <w:rPr>
                <w:rFonts w:ascii="仿宋" w:hAnsi="仿宋" w:eastAsia="仿宋"/>
                <w:color w:val="auto"/>
                <w:szCs w:val="21"/>
              </w:rPr>
            </w:pPr>
            <w:r>
              <w:rPr>
                <w:rFonts w:hint="eastAsia" w:ascii="仿宋" w:hAnsi="仿宋" w:eastAsia="仿宋"/>
                <w:color w:val="auto"/>
                <w:szCs w:val="21"/>
              </w:rPr>
              <w:t>我国突发事件应急处置的问题与对策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应急救援装备选择与使用（理实一体化）</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64</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1.个体防护装备的分类、种类、用途与使用方法；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2.交通装备的分类、种类、用途；</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3.通讯装备的分类、种类、用途与使用方法；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4.灭火装备的分类、种类、用途与使用方法；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5.水域救援装备的分类、种类、用途与使用方法；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6.高空救援装备的分类、种类、用途与使用方法；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7.冒顶、坍塌救援装备的分类、种类、用途与使用方法；</w:t>
            </w:r>
          </w:p>
          <w:p>
            <w:pPr>
              <w:adjustRightInd w:val="0"/>
              <w:snapToGrid w:val="0"/>
              <w:jc w:val="left"/>
              <w:rPr>
                <w:rFonts w:ascii="仿宋" w:hAnsi="仿宋" w:eastAsia="仿宋"/>
                <w:color w:val="auto"/>
                <w:szCs w:val="21"/>
              </w:rPr>
            </w:pPr>
            <w:r>
              <w:rPr>
                <w:rFonts w:hint="eastAsia" w:ascii="仿宋" w:hAnsi="仿宋" w:eastAsia="仿宋"/>
                <w:color w:val="auto"/>
                <w:szCs w:val="21"/>
              </w:rPr>
              <w:t>8.危险化学品事故救援装备的分类、种类、用途与使用方法；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olor w:val="auto"/>
                <w:szCs w:val="21"/>
              </w:rPr>
            </w:pPr>
            <w:r>
              <w:rPr>
                <w:rFonts w:hint="eastAsia" w:ascii="仿宋" w:hAnsi="仿宋" w:eastAsia="仿宋"/>
                <w:color w:val="auto"/>
                <w:szCs w:val="21"/>
              </w:rPr>
              <w:t>危险化学品事故救援技术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cs="Times New Roman"/>
                <w:i w:val="0"/>
                <w:color w:val="auto"/>
                <w:kern w:val="0"/>
                <w:sz w:val="20"/>
                <w:szCs w:val="20"/>
                <w:u w:val="none"/>
                <w:lang w:val="en-US" w:eastAsia="zh-CN" w:bidi="ar-SA"/>
              </w:rPr>
            </w:pPr>
            <w:r>
              <w:rPr>
                <w:rFonts w:hint="eastAsia" w:ascii="Times New Roman" w:hAnsi="Times New Roman" w:cs="Times New Roman"/>
                <w:i w:val="0"/>
                <w:color w:val="auto"/>
                <w:kern w:val="0"/>
                <w:sz w:val="20"/>
                <w:szCs w:val="20"/>
                <w:u w:val="none"/>
                <w:lang w:val="en-US" w:eastAsia="zh-CN" w:bidi="ar-SA"/>
              </w:rPr>
              <w:t>64</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1.《危险化学品安全管理条例》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2.《危险化学品企业现场处置方案》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3.危险化学品的分类与安全标签；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4.危险化学品重大危险源辨识；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5.危险化学品危害因素与隐患排查；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6.危险化学品安全技术管理；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7.危险化学品应急救援处置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① 危险化学品处置原则、一般程序和方法； ② 常见危险化学品事故处置技术。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7</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风险防范技术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cs="Times New Roman"/>
                <w:i w:val="0"/>
                <w:color w:val="auto"/>
                <w:kern w:val="0"/>
                <w:sz w:val="20"/>
                <w:szCs w:val="20"/>
                <w:u w:val="none"/>
                <w:lang w:val="en-US" w:eastAsia="zh-CN" w:bidi="ar-SA"/>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安全风险管理的基本概念</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危害因素辨识</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安全风险评估</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安全风险防控</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企业安全风险管理实践</w:t>
            </w:r>
          </w:p>
        </w:tc>
      </w:tr>
    </w:tbl>
    <w:p>
      <w:pPr>
        <w:pStyle w:val="10"/>
        <w:spacing w:before="50"/>
        <w:ind w:firstLine="548" w:firstLineChars="196"/>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6专业选修</w:t>
      </w:r>
      <w:r>
        <w:rPr>
          <w:rFonts w:hint="eastAsia" w:ascii="仿宋" w:hAnsi="仿宋" w:eastAsia="仿宋"/>
          <w:sz w:val="24"/>
        </w:rPr>
        <w:t>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13"/>
        <w:gridCol w:w="2751"/>
        <w:gridCol w:w="975"/>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7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Cs w:val="21"/>
              </w:rPr>
            </w:pPr>
            <w:r>
              <w:rPr>
                <w:rFonts w:hint="eastAsia" w:ascii="仿宋" w:hAnsi="仿宋" w:eastAsia="仿宋"/>
                <w:szCs w:val="21"/>
              </w:rPr>
              <w:t>学时</w:t>
            </w:r>
          </w:p>
        </w:tc>
        <w:tc>
          <w:tcPr>
            <w:tcW w:w="39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专业体能训练</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128</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按照消防救援员招录要求，开展专业体能训练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城市公共安全与应急管理</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1.概述</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2.城市公共安全监测预警</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3.城市公共安全应急救援</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4.城市公共安全管理</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5.城市公共安全事故应急救援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自然灾害事故应急救援</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1.常见的自然灾害</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2.气象灾害应急救援</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3.地质灾害应急救援</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4.水文灾害应急救援</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5.森林火灾应急救援</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olor w:val="auto"/>
                <w:szCs w:val="21"/>
                <w:lang w:val="en-US" w:eastAsia="zh-CN"/>
              </w:rPr>
              <w:t>6.生物灾害应急救援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安全管理</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1.安全管理基础知识；</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2.安全生产管理理论</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3.不安全行为的分析与控制</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4.人失误的分析与预防</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5.安全技术措施</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6.安全生产法规与标准</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7.安全生产基本条件与安全管理制度</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8.事故应急救援与伤亡事故统计分析</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olor w:val="auto"/>
                <w:szCs w:val="21"/>
                <w:lang w:val="en-US" w:eastAsia="zh-CN"/>
              </w:rPr>
              <w:t>9.现代安全</w:t>
            </w:r>
            <w:r>
              <w:rPr>
                <w:rFonts w:hint="eastAsia" w:ascii="仿宋" w:hAnsi="仿宋" w:eastAsia="仿宋" w:cs="Times New Roman"/>
                <w:kern w:val="2"/>
                <w:sz w:val="21"/>
                <w:szCs w:val="21"/>
                <w:lang w:val="en-US" w:eastAsia="zh-CN" w:bidi="ar-SA"/>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事故应急救援</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掌握应急管理与应急救援的功能与特性；熟悉应急工作“五要素”；熟悉应急管理体系建设内涵；了解应急物资与装备；掌握应急培训与演练；了解应急能力评价与持续改进。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6</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受限空间灾害与处置</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1.受限空间的定义与分类；</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2.危害因素特征及辨识；</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3.灾害事故种类；</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4.个体防护用品；</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5.安全监测监控；</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6.安全监管与隐患排查；</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7.灾害事故处置技术。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7</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建筑防火</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掌握火灾前的预防和火灾时的措施；理解火灾前的预防主要为确定耐火等级和耐火构造，控制可燃物数量及分隔易起火部位等；掌握火灾时的防火措施主要为进行防火分区，设置疏散设施及排烟、灭火设备等。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8</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水域救援技术</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 水域救援的分类，特征，危害因素；</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2.洪水溃坝、漫堤、管涌的识别技术，处理</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方法和措施；</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3.水面、水下侦查、打捞；</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4.抢救溺水人员；</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 排涝设备类型及安装排水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9</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事故调查与案例分析</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熟悉国家相关安全生产和生产安全事故报告和调查处理的法律、法规；掌握生产安全事故调查方案的制订和实施；掌握生产安全事故发生原因分析的能力；熟悉生产安全事故性质分析；掌握应急救援预案的编著。</w:t>
            </w:r>
          </w:p>
        </w:tc>
      </w:tr>
    </w:tbl>
    <w:p>
      <w:pPr>
        <w:pStyle w:val="10"/>
        <w:spacing w:before="50"/>
        <w:ind w:firstLine="470" w:firstLineChars="196"/>
        <w:rPr>
          <w:rFonts w:ascii="宋体" w:hAnsi="宋体"/>
          <w:sz w:val="24"/>
        </w:rPr>
      </w:pPr>
    </w:p>
    <w:p>
      <w:pPr>
        <w:pStyle w:val="10"/>
        <w:spacing w:before="50"/>
        <w:ind w:firstLine="548" w:firstLineChars="196"/>
        <w:rPr>
          <w:rFonts w:ascii="仿宋_GB2312" w:eastAsia="仿宋_GB2312"/>
          <w:sz w:val="28"/>
          <w:szCs w:val="28"/>
        </w:rPr>
      </w:pPr>
      <w:r>
        <w:rPr>
          <w:rFonts w:hint="eastAsia" w:ascii="仿宋_GB2312" w:eastAsia="仿宋_GB2312"/>
          <w:sz w:val="28"/>
          <w:szCs w:val="28"/>
        </w:rPr>
        <w:t>（4）专业实践课程</w:t>
      </w:r>
    </w:p>
    <w:p>
      <w:pPr>
        <w:pStyle w:val="10"/>
        <w:spacing w:before="50"/>
        <w:ind w:firstLine="470" w:firstLineChars="196"/>
        <w:jc w:val="center"/>
        <w:rPr>
          <w:rFonts w:eastAsia="仿宋"/>
          <w:sz w:val="24"/>
        </w:rPr>
      </w:pPr>
      <w:r>
        <w:rPr>
          <w:rFonts w:eastAsia="仿宋"/>
          <w:sz w:val="24"/>
        </w:rPr>
        <w:t>表7专业实践课程简介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66"/>
        <w:gridCol w:w="2307"/>
        <w:gridCol w:w="95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学时</w:t>
            </w:r>
          </w:p>
        </w:tc>
        <w:tc>
          <w:tcPr>
            <w:tcW w:w="4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应急救援模拟仿真实训</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22</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通过设计不同的事故模型和特定的灾难场景，定制不同的应急救援预案并进行抢险救援过程的综合演练。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无人机救援实训</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22</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借助3D模拟无人机辅助系统进行推演，无人机专项技能以及实战演练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灾害模拟与演练实训</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22</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通过灾害模拟与演练，提高应急处置能力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毕业设计</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144</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5</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企业课程</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336</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企业课程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顶岗实习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384</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社会实践</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szCs w:val="21"/>
              </w:rPr>
            </w:pP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bl>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hint="eastAsia" w:ascii="仿宋" w:hAnsi="仿宋" w:eastAsia="仿宋"/>
          <w:sz w:val="24"/>
        </w:rPr>
      </w:pPr>
    </w:p>
    <w:p>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pPr>
        <w:ind w:firstLine="281" w:firstLineChars="100"/>
        <w:rPr>
          <w:rFonts w:ascii="仿宋" w:hAnsi="仿宋" w:eastAsia="仿宋"/>
          <w:b/>
          <w:color w:val="000000"/>
          <w:sz w:val="28"/>
          <w:szCs w:val="28"/>
        </w:rPr>
      </w:pPr>
      <w:r>
        <w:rPr>
          <w:rFonts w:hint="eastAsia" w:ascii="仿宋" w:hAnsi="仿宋" w:eastAsia="仿宋"/>
          <w:b/>
          <w:sz w:val="28"/>
          <w:szCs w:val="28"/>
        </w:rPr>
        <w:t>（一）教学总周数分配表</w:t>
      </w:r>
    </w:p>
    <w:p>
      <w:pPr>
        <w:pStyle w:val="11"/>
        <w:spacing w:line="300" w:lineRule="auto"/>
        <w:ind w:firstLine="3120" w:firstLineChars="1300"/>
        <w:rPr>
          <w:rFonts w:ascii="宋体" w:hAnsi="宋体"/>
          <w:sz w:val="24"/>
          <w:szCs w:val="24"/>
        </w:rPr>
      </w:pPr>
    </w:p>
    <w:p>
      <w:pPr>
        <w:pStyle w:val="11"/>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8"/>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636" w:type="dxa"/>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636" w:type="dxa"/>
            <w:vMerge w:val="restart"/>
            <w:vAlign w:val="center"/>
          </w:tcPr>
          <w:p>
            <w:pPr>
              <w:spacing w:line="0" w:lineRule="atLeast"/>
              <w:jc w:val="center"/>
              <w:rPr>
                <w:rFonts w:ascii="仿宋" w:hAnsi="仿宋" w:eastAsia="仿宋"/>
                <w:kern w:val="0"/>
                <w:szCs w:val="21"/>
              </w:rPr>
            </w:pPr>
            <w:r>
              <w:rPr>
                <w:rFonts w:hint="eastAsia" w:ascii="仿宋" w:hAnsi="仿宋" w:eastAsia="仿宋"/>
                <w:kern w:val="0"/>
                <w:szCs w:val="21"/>
              </w:rPr>
              <w:t>学期</w:t>
            </w:r>
          </w:p>
          <w:p>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6771" w:type="dxa"/>
            <w:gridSpan w:val="8"/>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rPr>
                <w:rFonts w:ascii="仿宋" w:hAnsi="仿宋" w:eastAsia="仿宋"/>
                <w:szCs w:val="21"/>
              </w:rPr>
            </w:pPr>
          </w:p>
        </w:tc>
        <w:tc>
          <w:tcPr>
            <w:tcW w:w="636" w:type="dxa"/>
            <w:vMerge w:val="continue"/>
            <w:vAlign w:val="center"/>
          </w:tcPr>
          <w:p>
            <w:pPr>
              <w:spacing w:line="0" w:lineRule="atLeast"/>
              <w:rPr>
                <w:rFonts w:ascii="仿宋" w:hAnsi="仿宋" w:eastAsia="仿宋"/>
                <w:szCs w:val="21"/>
              </w:rPr>
            </w:pPr>
          </w:p>
        </w:tc>
        <w:tc>
          <w:tcPr>
            <w:tcW w:w="636" w:type="dxa"/>
            <w:vMerge w:val="continue"/>
            <w:vAlign w:val="center"/>
          </w:tcPr>
          <w:p>
            <w:pPr>
              <w:widowControl/>
              <w:spacing w:line="0" w:lineRule="atLeast"/>
              <w:jc w:val="center"/>
              <w:rPr>
                <w:rFonts w:ascii="仿宋" w:hAnsi="仿宋" w:eastAsia="仿宋"/>
                <w:kern w:val="0"/>
                <w:szCs w:val="21"/>
              </w:rPr>
            </w:pPr>
          </w:p>
        </w:tc>
        <w:tc>
          <w:tcPr>
            <w:tcW w:w="84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jc w:val="center"/>
              <w:rPr>
                <w:rFonts w:ascii="仿宋" w:hAnsi="仿宋" w:eastAsia="仿宋"/>
                <w:color w:val="000000"/>
                <w:szCs w:val="21"/>
              </w:rPr>
            </w:pP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jc w:val="center"/>
              <w:rPr>
                <w:rFonts w:ascii="仿宋" w:hAnsi="仿宋" w:eastAsia="仿宋"/>
                <w:color w:val="000000"/>
                <w:szCs w:val="21"/>
              </w:rPr>
            </w:pP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jc w:val="center"/>
              <w:rPr>
                <w:rFonts w:ascii="仿宋" w:hAnsi="仿宋" w:eastAsia="仿宋"/>
                <w:color w:val="000000"/>
                <w:szCs w:val="21"/>
              </w:rPr>
            </w:pP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72" w:type="dxa"/>
            <w:gridSpan w:val="2"/>
            <w:vAlign w:val="center"/>
          </w:tcPr>
          <w:p>
            <w:pPr>
              <w:spacing w:line="0" w:lineRule="atLeast"/>
              <w:jc w:val="center"/>
              <w:rPr>
                <w:rFonts w:ascii="仿宋" w:hAnsi="仿宋" w:eastAsia="仿宋"/>
                <w:szCs w:val="21"/>
              </w:rPr>
            </w:pPr>
            <w:r>
              <w:rPr>
                <w:rFonts w:hint="eastAsia" w:ascii="仿宋" w:hAnsi="仿宋" w:eastAsia="仿宋"/>
                <w:szCs w:val="21"/>
              </w:rPr>
              <w:t>合计</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84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5</w:t>
            </w:r>
          </w:p>
        </w:tc>
      </w:tr>
    </w:tbl>
    <w:p>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八、实施保障</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包括师资队伍、教学设施、教学资源、教学方法、学习评价、质量管理等方面，不得从现状角度描述，应该从人才培养应有的保障支撑角度描述。</w:t>
      </w:r>
    </w:p>
    <w:p>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（一）师资队伍</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1.队伍结构</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专任教师队伍应考虑职称、年龄，形成合理的梯队结构。学生数与本专业专任教师数比例不高于25：1，双师素质教师占专业教师比例不低于90%，专业设置的课程中70%以上的授课任务由经过相关专业系统培训、具有中级以上职称和一定实践经验的专职教师担任。专任教师队伍中至少应有1名专业带头人，具有中级以上职称者不低于60％，具有高级职称者不低于15％。</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2.专任教师</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专任教师应具有高校教师资格；有理想信念、有道德情操、有扎实学识、有仁爱之心；具有安全工程或工程监理或建筑工程相关专业本科及以上学历；具有扎实的本专业相关理论功底和实践能力；具有较强信息化教学能力，能够开展课程教学改革和科学研究；有每5年累计不少于6个月的企业实践经历。</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3.专业带头人</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专业带头人原则上应具有副高及以上职称，能够较好地把握国内外工程安全评价与监理行业、专业发展，能广泛联系行业企业，了解行业企业对本专业人才的需求实际，教学设计、专业研究能力强，组织开展教科研工作能力强，在本区域或本领域具有一定的专业影响力。</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4.兼职教师</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兼职教师主要从工程安全评价与监理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此外，专兼职教师比例不低于1:1。</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1.专业教室基本条件</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一般配备黑（白）版、多媒体计算机、投影设备、音响设备，互联网接入或 WiFi 环境，并具有网络安全防护措施。安装应急照明装置并保持良好状态，符合紧急疏散要求，标志明显，保持逃生通道畅通无阻。</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2.校内实训室基本要求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（1）突发事件模拟仿真实训室</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配置多种突发事件（自然灾害、火灾、化学品事故、建筑事故、交通运输事故、安全生产事故）等模拟仿真软件或沙盘，用于突发事件应急处置、风险防范技术、抢险救援指挥与技术等课程的教学与实训。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（2）应急救护实训室</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配置心肺复苏、止血包扎、中毒救护等设施设备，用于事故现场的急救技术等课程的教学与实训。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（3）体能训练</w:t>
      </w:r>
      <w:r>
        <w:rPr>
          <w:rFonts w:hint="eastAsia" w:ascii="仿宋_GB2312" w:eastAsia="仿宋_GB2312"/>
          <w:color w:val="auto"/>
          <w:sz w:val="28"/>
          <w:szCs w:val="28"/>
          <w:lang w:val="en-US" w:eastAsia="zh-CN"/>
        </w:rPr>
        <w:t>实训场地</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配置力量训练、耐力训练、弹性训练等科目的设施设备，用于体能训练的教学与实训。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（4）救援装备实训室</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配置防护服、防毒面具、安全帽、安全带、自救器、缓降器、空气呼吸器等设施，设备用于高空救援、火场救援、化工救援等教学与实训。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 校外实训基地基本要求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具有稳定的校外实训基地数量达到 10 家以上（包含矿山救护队、消防队、企业消防队、社会组织、政府部门等），且数量应达到 50 人以上。能够提供开展救援装备使用、应急预案编制及演练等实训活动，实训设备齐全，实训岗位实训、指导老师确定，实训管理及实施规章制度齐全。</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 学生实习基地基本要求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具有稳定的校外实习基地，能提供应急管理、救援技术服务、应急决策指挥等相关实习岗位；能涵盖当前专业发展的主流技术，可接纳一定规模的学生顶岗实习；能够配备相应数量的指导教师，对学生实习进行指导和管理；有保证实习学生日常工作学习生活的规章制度，有安全、保险保障。</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5.支持信息化教学方面的基本要求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具有利用数字化教学资源库、文献资料、常见问题解答等的信息化条件，引导鼓励教师开发并利用信息化教学资源教学平台，创新教学方法，提升教学效果。</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（三）教学资源</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主要包括能够满足学生专业学习、教师专业教学研究和教学实施需要的教材、图书及数字化教学资源等。</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1.教材选用基本要求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按照国家规定选用优质教材，禁止不合格的教材进入课堂。学校应建立有专业教师、行业专家和教研人员等参与的教材选用机构，完善教材选用制度，经过规范程序择优选用教材。</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2.图书文献配备基本要求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图书文献配备能满足人才培养、专业建设、教科研等工作的需要，方便师生查阅、借阅。专业类的图书文献主要包括：行业政策法规资料、有关职业标准，有关应急实战、应急管理、应急决策的操作规范以及实务案例类的图书等；3 种及以上国内外应急救援方面的报刊杂志。</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3.数字资源配备基本要求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建设、配备与本专业有关的音视频素材、教学课件、微课、案例库、虚拟仿真软件、数字教材等专业教学资源库，种类丰富，形式多样，使用便捷，动态更新，满足教学</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（四）教学方法</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1.讲授法：讲授法是教师通过简明、生动的口头语言向学生传授知识、发展学生智力的方法。</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讨论法：讨论法是在教师的指导下，学生以全班或小组为单位，围绕课堂教学的中心问题，各抒己见，通过讨论或辩论活动，获得知识或巩固知识的一种教学方法。优点在于，由于全体学生都参加活动，可以培养合作精神，激发学生的学习兴趣，提高学生学习的独立性。</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直观演示法：演示法是教师在课堂上通过展示各种实物、直观教具或进行示范性实验，让学生通过观察获得感性认识的教学方法。是一种辅助性教学方法，也是各类专业课程教学的重要方法，建议和讲授法、谈话法等教学方法结合使用。</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任务驱动法：教师给学生布置探究性的学习任务，学生查阅资料，对知识体系进行整理，再选出代表进行讲解，最后由教师进行总结。任务驱动教学法可以以小组为单位进行，也可以以个人为单位组织进行，它要求教师布置任务要具体，其他学生要极积提问，以达到共同学习的目的。任务驱动教学法可以让学生在完成“任务”的过程中，培养分析问题、解决问题的能力，培养学生独立探索及合作精神。</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5.项目驱动教学法：要求在教学过程中，以完成一个具体的项目为线索，把教学内容巧妙地隐含在每个项目之中，让学生自已提出问题，并经过思考和老师的点拔，自已解决问题。完成项目的同时，学生培养了创新意识、创新能力以及自主学习的习惯，学会如何去发现问题、寻找解决问题的方法</w:t>
      </w:r>
      <w:r>
        <w:rPr>
          <w:rFonts w:hint="eastAsia" w:ascii="仿宋_GB2312" w:eastAsia="仿宋_GB2312"/>
          <w:color w:val="auto"/>
          <w:sz w:val="28"/>
          <w:szCs w:val="28"/>
          <w:lang w:eastAsia="zh-CN"/>
        </w:rPr>
        <w:t>。</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（五）学习评价</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1.教学督导评价机构健全。为加强专业建设、管理，促进专业教学质量和服务产业能力持续提高，必须成立院、系教学督导评价机构，从组织上保证教学督导、评价、考核等教学管理工作。</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2.全方位开展教学评价。学生评价鼓励有条件的课程采用形成性考核以及线上、线下结合的评价方式，其中线上评价占 30%，线下评价占 70%。既要评价教师的教学环节、学生的学习过程，又要评价教学条件、教学管理、专业建设等。</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3.多主体参与教学评价。社会、学校、企业、家长、学生都是教育教学中同一个利益共同体，所以要制定让他们都参于教学评价，实行教学管理的多元化机制的制度。</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4.多渠道进行教学评价。要通过督导检查、随机检查、听评课、教学竞赛、教学考试、师生问卷、师生座谈、家长邮箱、网上调查、回访企业等多渠道进行全方位教学评价。</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5.定性与定量评价相结合。难于定量的可以采用定性评价，能够科学定量的要采用定量评价方法，各系部要根据实际条件和要求，制定科学、实效的教学评价方案</w:t>
      </w:r>
      <w:r>
        <w:rPr>
          <w:rFonts w:hint="eastAsia" w:ascii="仿宋_GB2312" w:eastAsia="仿宋_GB2312"/>
          <w:color w:val="auto"/>
          <w:sz w:val="28"/>
          <w:szCs w:val="28"/>
          <w:lang w:eastAsia="zh-CN"/>
        </w:rPr>
        <w:t>。</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（六）质量管理</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3.建立毕业生跟踪反馈机制及社会评价机制，并对生源情况、在校生学业水平、毕业生就业情况等进行分析，定期评价人才培养质量和培养目标达成情况。</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4.专业教学团队应充分利用评价分析结果有效改进专业教学，持续提高人才培养质量。</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九、毕业要求</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学生必须通过规定年限的学习，完成规定的教学活动，达到规定的素质、知识和能力要求，方可获取毕业证书：</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（一）理想信念坚定，德智体美劳全面发展，思想品德与综合素质测评合格。</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（二）熟练掌握应急救援的基本方针、政策和法规，了解应急救援等方面的基础知识；系统掌握应急救援的基本理论和实践，具备应急救援的专业知识；具有运用所学知识和技能进行事故救援的初步能力。</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 xml:space="preserve">（三）至少获得总学分 </w:t>
      </w:r>
      <w:r>
        <w:rPr>
          <w:rFonts w:hint="eastAsia" w:ascii="仿宋_GB2312" w:eastAsia="仿宋_GB2312"/>
          <w:color w:val="auto"/>
          <w:sz w:val="28"/>
          <w:szCs w:val="28"/>
          <w:lang w:val="en-US" w:eastAsia="zh-CN"/>
        </w:rPr>
        <w:t>138</w:t>
      </w:r>
      <w:r>
        <w:rPr>
          <w:rFonts w:hint="eastAsia" w:ascii="仿宋_GB2312" w:eastAsia="仿宋_GB2312"/>
          <w:color w:val="auto"/>
          <w:sz w:val="28"/>
          <w:szCs w:val="28"/>
        </w:rPr>
        <w:t>学分，其中必修课</w:t>
      </w:r>
      <w:r>
        <w:rPr>
          <w:rFonts w:hint="eastAsia" w:ascii="仿宋_GB2312" w:eastAsia="仿宋_GB2312"/>
          <w:color w:val="auto"/>
          <w:sz w:val="28"/>
          <w:szCs w:val="28"/>
          <w:lang w:val="en-US" w:eastAsia="zh-CN"/>
        </w:rPr>
        <w:t>122</w:t>
      </w:r>
      <w:r>
        <w:rPr>
          <w:rFonts w:hint="eastAsia" w:ascii="仿宋_GB2312" w:eastAsia="仿宋_GB2312"/>
          <w:color w:val="auto"/>
          <w:sz w:val="28"/>
          <w:szCs w:val="28"/>
        </w:rPr>
        <w:t>学分,选修课</w:t>
      </w:r>
      <w:r>
        <w:rPr>
          <w:rFonts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学分；参加毕业实习全过程，毕业综合实践报告符合规定要求。</w:t>
      </w:r>
      <w:bookmarkStart w:id="0" w:name="_GoBack"/>
    </w:p>
    <w:bookmarkEnd w:id="0"/>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（四）鼓励学生在校期间取得英语等级证书和与专业相关的职业资格证书或技能证书。</w:t>
      </w:r>
    </w:p>
    <w:p>
      <w:pPr>
        <w:pStyle w:val="11"/>
        <w:spacing w:before="62" w:beforeLines="20"/>
        <w:jc w:val="right"/>
      </w:pPr>
    </w:p>
    <w:sectPr>
      <w:footerReference r:id="rId4" w:type="default"/>
      <w:pgSz w:w="11906" w:h="16838"/>
      <w:pgMar w:top="1418" w:right="1418" w:bottom="1418" w:left="1418" w:header="851" w:footer="992" w:gutter="0"/>
      <w:pgNumType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11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Q1MmUzNTk4ZTgxMTE3NmYyNDEyZDQxNDJhZTYyYjE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913CA"/>
    <w:rsid w:val="00FD1C9D"/>
    <w:rsid w:val="00FF7C35"/>
    <w:rsid w:val="011420BE"/>
    <w:rsid w:val="01AE3368"/>
    <w:rsid w:val="02A26D17"/>
    <w:rsid w:val="040B7708"/>
    <w:rsid w:val="0A3F642B"/>
    <w:rsid w:val="0A5F4EED"/>
    <w:rsid w:val="0BAD5D9F"/>
    <w:rsid w:val="0CE00A95"/>
    <w:rsid w:val="0CEF2A86"/>
    <w:rsid w:val="14067033"/>
    <w:rsid w:val="14D233B9"/>
    <w:rsid w:val="167C182F"/>
    <w:rsid w:val="1698360E"/>
    <w:rsid w:val="1B5508A0"/>
    <w:rsid w:val="1E1F4CFB"/>
    <w:rsid w:val="1EAC6A29"/>
    <w:rsid w:val="2046125D"/>
    <w:rsid w:val="21D60789"/>
    <w:rsid w:val="21E464DA"/>
    <w:rsid w:val="23040BE2"/>
    <w:rsid w:val="234B4A63"/>
    <w:rsid w:val="242F7EE0"/>
    <w:rsid w:val="249C5B6B"/>
    <w:rsid w:val="2661459D"/>
    <w:rsid w:val="287347BB"/>
    <w:rsid w:val="289E0077"/>
    <w:rsid w:val="29FC6AB7"/>
    <w:rsid w:val="2AF23A16"/>
    <w:rsid w:val="2BBE499F"/>
    <w:rsid w:val="2CBC252D"/>
    <w:rsid w:val="2D320A41"/>
    <w:rsid w:val="2F3565C7"/>
    <w:rsid w:val="311D3E91"/>
    <w:rsid w:val="3439693A"/>
    <w:rsid w:val="349578BD"/>
    <w:rsid w:val="37A81D04"/>
    <w:rsid w:val="39786CDF"/>
    <w:rsid w:val="3BAB3013"/>
    <w:rsid w:val="3E3363C7"/>
    <w:rsid w:val="41585D4C"/>
    <w:rsid w:val="4228037E"/>
    <w:rsid w:val="42E303BC"/>
    <w:rsid w:val="43617533"/>
    <w:rsid w:val="442C18EF"/>
    <w:rsid w:val="449959F4"/>
    <w:rsid w:val="45B147A1"/>
    <w:rsid w:val="45E86B06"/>
    <w:rsid w:val="47774CCB"/>
    <w:rsid w:val="47CD33E9"/>
    <w:rsid w:val="47D604EF"/>
    <w:rsid w:val="487C6AC5"/>
    <w:rsid w:val="49070B73"/>
    <w:rsid w:val="49234892"/>
    <w:rsid w:val="4ADA45AC"/>
    <w:rsid w:val="4B4762DB"/>
    <w:rsid w:val="4C520360"/>
    <w:rsid w:val="517448D5"/>
    <w:rsid w:val="54043C8F"/>
    <w:rsid w:val="54A27253"/>
    <w:rsid w:val="55627866"/>
    <w:rsid w:val="581F1A3E"/>
    <w:rsid w:val="59FB5B93"/>
    <w:rsid w:val="5A3B0686"/>
    <w:rsid w:val="5BDD723D"/>
    <w:rsid w:val="5D474315"/>
    <w:rsid w:val="5DC604AF"/>
    <w:rsid w:val="5EB915BA"/>
    <w:rsid w:val="5FA1781B"/>
    <w:rsid w:val="608C5797"/>
    <w:rsid w:val="62C84A81"/>
    <w:rsid w:val="63243C14"/>
    <w:rsid w:val="66DE4873"/>
    <w:rsid w:val="684C4A63"/>
    <w:rsid w:val="68B96F3F"/>
    <w:rsid w:val="6CEC139B"/>
    <w:rsid w:val="715E5B25"/>
    <w:rsid w:val="718C1A9B"/>
    <w:rsid w:val="71A71BE4"/>
    <w:rsid w:val="72907369"/>
    <w:rsid w:val="7363682B"/>
    <w:rsid w:val="7762504C"/>
    <w:rsid w:val="7BE74B01"/>
    <w:rsid w:val="7C976AC7"/>
    <w:rsid w:val="7CBB76D8"/>
    <w:rsid w:val="7CFF713B"/>
    <w:rsid w:val="7F955B2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rPr>
      <w:rFonts w:ascii="Calibri" w:hAnsi="Calibri" w:eastAsia="宋体" w:cs="黑体"/>
      <w:kern w:val="2"/>
      <w:sz w:val="21"/>
      <w:szCs w:val="22"/>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0"/>
    <w:pPr>
      <w:ind w:firstLine="420" w:firstLineChars="200"/>
    </w:pPr>
    <w:rPr>
      <w:rFonts w:ascii="Times New Roman" w:hAnsi="Times New Roman"/>
      <w:szCs w:val="24"/>
    </w:rPr>
  </w:style>
  <w:style w:type="paragraph" w:customStyle="1" w:styleId="11">
    <w:name w:val="列出段落2"/>
    <w:basedOn w:val="1"/>
    <w:qFormat/>
    <w:uiPriority w:val="0"/>
    <w:pPr>
      <w:ind w:firstLine="420" w:firstLineChars="200"/>
    </w:pPr>
    <w:rPr>
      <w:rFonts w:ascii="Times New Roman" w:hAnsi="Times New Roman"/>
      <w:szCs w:val="21"/>
    </w:rPr>
  </w:style>
  <w:style w:type="paragraph" w:customStyle="1" w:styleId="12">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3">
    <w:name w:val="页眉 Char"/>
    <w:basedOn w:val="7"/>
    <w:link w:val="5"/>
    <w:qFormat/>
    <w:uiPriority w:val="0"/>
    <w:rPr>
      <w:kern w:val="2"/>
      <w:sz w:val="18"/>
      <w:szCs w:val="18"/>
    </w:rPr>
  </w:style>
  <w:style w:type="character" w:customStyle="1" w:styleId="14">
    <w:name w:val="页脚 Char"/>
    <w:basedOn w:val="7"/>
    <w:link w:val="4"/>
    <w:qFormat/>
    <w:uiPriority w:val="99"/>
    <w:rPr>
      <w:kern w:val="2"/>
      <w:sz w:val="18"/>
      <w:szCs w:val="18"/>
    </w:rPr>
  </w:style>
  <w:style w:type="character" w:customStyle="1" w:styleId="15">
    <w:name w:val="批注框文本 Char"/>
    <w:basedOn w:val="7"/>
    <w:link w:val="3"/>
    <w:qFormat/>
    <w:uiPriority w:val="0"/>
    <w:rPr>
      <w:rFonts w:ascii="Calibri" w:hAnsi="Calibri"/>
      <w:kern w:val="2"/>
      <w:sz w:val="18"/>
      <w:szCs w:val="18"/>
    </w:rPr>
  </w:style>
  <w:style w:type="character" w:customStyle="1" w:styleId="16">
    <w:name w:val="纯文本 Char"/>
    <w:link w:val="2"/>
    <w:qFormat/>
    <w:uiPriority w:val="0"/>
    <w:rPr>
      <w:rFonts w:ascii="宋体" w:hAnsi="Courier New"/>
      <w:szCs w:val="21"/>
    </w:rPr>
  </w:style>
  <w:style w:type="character" w:customStyle="1" w:styleId="17">
    <w:name w:val="纯文本 Char1"/>
    <w:basedOn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7243</Words>
  <Characters>7481</Characters>
  <Lines>25</Lines>
  <Paragraphs>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hiscules</cp:lastModifiedBy>
  <cp:lastPrinted>2021-05-25T00:58:00Z</cp:lastPrinted>
  <dcterms:modified xsi:type="dcterms:W3CDTF">2024-06-27T00:41:33Z</dcterms:modified>
  <dc:title>江苏安全技术职业学院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1A2E940F139445CFB4406F13FC85A208_13</vt:lpwstr>
  </property>
</Properties>
</file>